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3567EA" w14:textId="77777777" w:rsidR="00D876A8" w:rsidRDefault="00D876A8" w:rsidP="00D876A8">
      <w:pPr>
        <w:bidi/>
        <w:jc w:val="left"/>
      </w:pPr>
    </w:p>
    <w:tbl>
      <w:tblPr>
        <w:tblStyle w:val="TableGrid"/>
        <w:bidiVisual/>
        <w:tblW w:w="0" w:type="auto"/>
        <w:tblLook w:val="04A0" w:firstRow="1" w:lastRow="0" w:firstColumn="1" w:lastColumn="0" w:noHBand="0" w:noVBand="1"/>
      </w:tblPr>
      <w:tblGrid>
        <w:gridCol w:w="3604"/>
        <w:gridCol w:w="3604"/>
        <w:gridCol w:w="3604"/>
        <w:gridCol w:w="3604"/>
        <w:gridCol w:w="3604"/>
        <w:gridCol w:w="3604"/>
      </w:tblGrid>
      <w:tr w:rsidR="00D876A8" w:rsidRPr="0061495A" w14:paraId="58B9547E" w14:textId="77777777" w:rsidTr="00170628">
        <w:trPr>
          <w:trHeight w:val="300"/>
        </w:trPr>
        <w:tc>
          <w:tcPr>
            <w:tcW w:w="3604" w:type="dxa"/>
            <w:shd w:val="clear" w:color="auto" w:fill="D2DCE4"/>
          </w:tcPr>
          <w:p w14:paraId="25E02465" w14:textId="77777777" w:rsidR="00D876A8" w:rsidRPr="00170628" w:rsidRDefault="00D876A8" w:rsidP="003531F3">
            <w:pPr>
              <w:pStyle w:val="TableHeading"/>
              <w:bidi/>
              <w:rPr>
                <w:rFonts w:cs="Arial"/>
                <w:b w:val="0"/>
                <w:bCs/>
                <w:sz w:val="24"/>
                <w:szCs w:val="24"/>
              </w:rPr>
            </w:pPr>
            <w:r w:rsidRPr="00170628">
              <w:rPr>
                <w:rFonts w:cs="Arial"/>
                <w:b w:val="0"/>
                <w:bCs/>
                <w:sz w:val="24"/>
                <w:szCs w:val="24"/>
                <w:rtl/>
                <w:lang w:eastAsia="ar"/>
              </w:rPr>
              <w:t>فئة التقدير &gt;</w:t>
            </w:r>
          </w:p>
        </w:tc>
        <w:tc>
          <w:tcPr>
            <w:tcW w:w="3604" w:type="dxa"/>
            <w:shd w:val="clear" w:color="auto" w:fill="D2DCE4"/>
          </w:tcPr>
          <w:p w14:paraId="22E10CDC" w14:textId="77777777" w:rsidR="00D876A8" w:rsidRPr="00170628" w:rsidRDefault="00D876A8" w:rsidP="003531F3">
            <w:pPr>
              <w:autoSpaceDE w:val="0"/>
              <w:autoSpaceDN w:val="0"/>
              <w:bidi/>
              <w:adjustRightInd w:val="0"/>
              <w:snapToGrid w:val="0"/>
              <w:jc w:val="center"/>
              <w:rPr>
                <w:rFonts w:cs="Arial"/>
                <w:b/>
                <w:sz w:val="24"/>
                <w:szCs w:val="24"/>
              </w:rPr>
            </w:pPr>
            <w:r w:rsidRPr="00170628">
              <w:rPr>
                <w:rFonts w:cs="Arial"/>
                <w:b/>
                <w:bCs/>
                <w:color w:val="000000"/>
                <w:sz w:val="24"/>
                <w:szCs w:val="24"/>
                <w:rtl/>
                <w:lang w:eastAsia="ar"/>
              </w:rPr>
              <w:t>الفئة الخامسة</w:t>
            </w:r>
          </w:p>
        </w:tc>
        <w:tc>
          <w:tcPr>
            <w:tcW w:w="3604" w:type="dxa"/>
            <w:shd w:val="clear" w:color="auto" w:fill="D2DCE4"/>
          </w:tcPr>
          <w:p w14:paraId="2EB7296B" w14:textId="77777777" w:rsidR="00D876A8" w:rsidRPr="00170628" w:rsidRDefault="00D876A8" w:rsidP="003531F3">
            <w:pPr>
              <w:bidi/>
              <w:jc w:val="center"/>
              <w:rPr>
                <w:rFonts w:cs="Arial"/>
                <w:b/>
                <w:sz w:val="24"/>
                <w:szCs w:val="24"/>
              </w:rPr>
            </w:pPr>
            <w:r w:rsidRPr="00170628">
              <w:rPr>
                <w:rFonts w:cs="Arial"/>
                <w:b/>
                <w:bCs/>
                <w:color w:val="000000"/>
                <w:sz w:val="24"/>
                <w:szCs w:val="24"/>
                <w:rtl/>
                <w:lang w:eastAsia="ar"/>
              </w:rPr>
              <w:t>الفئة الرابعة</w:t>
            </w:r>
          </w:p>
        </w:tc>
        <w:tc>
          <w:tcPr>
            <w:tcW w:w="3604" w:type="dxa"/>
            <w:shd w:val="clear" w:color="auto" w:fill="D2DCE4"/>
          </w:tcPr>
          <w:p w14:paraId="43BCAB03" w14:textId="77777777" w:rsidR="00D876A8" w:rsidRPr="00170628" w:rsidRDefault="00D876A8" w:rsidP="003531F3">
            <w:pPr>
              <w:bidi/>
              <w:jc w:val="center"/>
              <w:rPr>
                <w:rFonts w:cs="Arial"/>
                <w:b/>
                <w:sz w:val="24"/>
                <w:szCs w:val="24"/>
              </w:rPr>
            </w:pPr>
            <w:r w:rsidRPr="00170628">
              <w:rPr>
                <w:rFonts w:cs="Arial"/>
                <w:b/>
                <w:bCs/>
                <w:color w:val="000000"/>
                <w:sz w:val="24"/>
                <w:szCs w:val="24"/>
                <w:rtl/>
                <w:lang w:eastAsia="ar"/>
              </w:rPr>
              <w:t>الفئة الثالثة</w:t>
            </w:r>
          </w:p>
        </w:tc>
        <w:tc>
          <w:tcPr>
            <w:tcW w:w="3604" w:type="dxa"/>
            <w:shd w:val="clear" w:color="auto" w:fill="D2DCE4"/>
          </w:tcPr>
          <w:p w14:paraId="37F97452" w14:textId="77777777" w:rsidR="00D876A8" w:rsidRPr="00170628" w:rsidRDefault="00D876A8" w:rsidP="003531F3">
            <w:pPr>
              <w:bidi/>
              <w:jc w:val="center"/>
              <w:rPr>
                <w:rFonts w:cs="Arial"/>
                <w:b/>
                <w:sz w:val="24"/>
                <w:szCs w:val="24"/>
              </w:rPr>
            </w:pPr>
            <w:r w:rsidRPr="00170628">
              <w:rPr>
                <w:rFonts w:cs="Arial"/>
                <w:b/>
                <w:bCs/>
                <w:color w:val="000000"/>
                <w:sz w:val="24"/>
                <w:szCs w:val="24"/>
                <w:rtl/>
                <w:lang w:eastAsia="ar"/>
              </w:rPr>
              <w:t>الفئة الثانية</w:t>
            </w:r>
          </w:p>
        </w:tc>
        <w:tc>
          <w:tcPr>
            <w:tcW w:w="3604" w:type="dxa"/>
            <w:shd w:val="clear" w:color="auto" w:fill="D2DCE4"/>
          </w:tcPr>
          <w:p w14:paraId="77F04CA5" w14:textId="77777777" w:rsidR="00D876A8" w:rsidRPr="00170628" w:rsidRDefault="00D876A8" w:rsidP="003531F3">
            <w:pPr>
              <w:bidi/>
              <w:jc w:val="center"/>
              <w:rPr>
                <w:rFonts w:cs="Arial"/>
                <w:b/>
                <w:sz w:val="24"/>
                <w:szCs w:val="24"/>
              </w:rPr>
            </w:pPr>
            <w:r w:rsidRPr="00170628">
              <w:rPr>
                <w:rFonts w:cs="Arial"/>
                <w:b/>
                <w:bCs/>
                <w:color w:val="000000"/>
                <w:sz w:val="24"/>
                <w:szCs w:val="24"/>
                <w:rtl/>
                <w:lang w:eastAsia="ar"/>
              </w:rPr>
              <w:t>الفئة الأولى</w:t>
            </w:r>
          </w:p>
        </w:tc>
      </w:tr>
      <w:tr w:rsidR="00D876A8" w:rsidRPr="0061495A" w14:paraId="1B93B015" w14:textId="77777777" w:rsidTr="00170628">
        <w:tc>
          <w:tcPr>
            <w:tcW w:w="3604" w:type="dxa"/>
            <w:vMerge w:val="restart"/>
            <w:shd w:val="clear" w:color="auto" w:fill="D2DCE4"/>
          </w:tcPr>
          <w:p w14:paraId="58EB5E08" w14:textId="77777777" w:rsidR="00D876A8" w:rsidRPr="00170628" w:rsidRDefault="00D876A8" w:rsidP="003531F3">
            <w:pPr>
              <w:bidi/>
              <w:rPr>
                <w:rFonts w:cs="Arial"/>
                <w:b/>
                <w:color w:val="000000"/>
                <w:sz w:val="24"/>
                <w:szCs w:val="24"/>
                <w:lang w:val="x-none"/>
              </w:rPr>
            </w:pPr>
          </w:p>
          <w:p w14:paraId="58834733" w14:textId="77777777" w:rsidR="00D876A8" w:rsidRPr="00170628" w:rsidRDefault="00D876A8" w:rsidP="003531F3">
            <w:pPr>
              <w:bidi/>
              <w:rPr>
                <w:rFonts w:cs="Arial"/>
                <w:b/>
                <w:sz w:val="24"/>
                <w:szCs w:val="24"/>
              </w:rPr>
            </w:pPr>
            <w:r w:rsidRPr="00170628">
              <w:rPr>
                <w:rFonts w:cs="Arial"/>
                <w:b/>
                <w:bCs/>
                <w:color w:val="000000"/>
                <w:sz w:val="24"/>
                <w:szCs w:val="24"/>
                <w:rtl/>
                <w:lang w:eastAsia="ar"/>
              </w:rPr>
              <w:t>نطاق الدقة المتوقع</w:t>
            </w:r>
          </w:p>
        </w:tc>
        <w:tc>
          <w:tcPr>
            <w:tcW w:w="3604" w:type="dxa"/>
          </w:tcPr>
          <w:p w14:paraId="3F4F57C1" w14:textId="77777777" w:rsidR="00D876A8" w:rsidRPr="0061495A" w:rsidRDefault="00D876A8" w:rsidP="003531F3">
            <w:pPr>
              <w:bidi/>
              <w:jc w:val="center"/>
              <w:rPr>
                <w:rFonts w:cs="Arial"/>
              </w:rPr>
            </w:pPr>
            <w:r w:rsidRPr="0061495A">
              <w:rPr>
                <w:rFonts w:cs="Arial"/>
                <w:color w:val="000000"/>
                <w:rtl/>
                <w:lang w:eastAsia="ar"/>
              </w:rPr>
              <w:t>الأدنى: -20% إلى -50%</w:t>
            </w:r>
          </w:p>
        </w:tc>
        <w:tc>
          <w:tcPr>
            <w:tcW w:w="3604" w:type="dxa"/>
          </w:tcPr>
          <w:p w14:paraId="61E653FD" w14:textId="77777777" w:rsidR="00D876A8" w:rsidRPr="0061495A" w:rsidRDefault="00D876A8" w:rsidP="003531F3">
            <w:pPr>
              <w:bidi/>
              <w:jc w:val="center"/>
              <w:rPr>
                <w:rFonts w:cs="Arial"/>
              </w:rPr>
            </w:pPr>
            <w:r w:rsidRPr="0061495A">
              <w:rPr>
                <w:rFonts w:cs="Arial"/>
                <w:color w:val="000000"/>
                <w:rtl/>
                <w:lang w:eastAsia="ar"/>
              </w:rPr>
              <w:t>الأدنى: -15% إلى -30%</w:t>
            </w:r>
          </w:p>
        </w:tc>
        <w:tc>
          <w:tcPr>
            <w:tcW w:w="3604" w:type="dxa"/>
          </w:tcPr>
          <w:p w14:paraId="5C30F8AF" w14:textId="77777777" w:rsidR="00D876A8" w:rsidRPr="0061495A" w:rsidRDefault="00D876A8" w:rsidP="003531F3">
            <w:pPr>
              <w:bidi/>
              <w:jc w:val="center"/>
              <w:rPr>
                <w:rFonts w:cs="Arial"/>
              </w:rPr>
            </w:pPr>
            <w:r w:rsidRPr="0061495A">
              <w:rPr>
                <w:rFonts w:cs="Arial"/>
                <w:color w:val="000000"/>
                <w:rtl/>
                <w:lang w:eastAsia="ar"/>
              </w:rPr>
              <w:t>الأدنى: -10% إلى -20%</w:t>
            </w:r>
          </w:p>
        </w:tc>
        <w:tc>
          <w:tcPr>
            <w:tcW w:w="3604" w:type="dxa"/>
          </w:tcPr>
          <w:p w14:paraId="5DC1415E" w14:textId="77777777" w:rsidR="00D876A8" w:rsidRPr="0061495A" w:rsidRDefault="00D876A8" w:rsidP="003531F3">
            <w:pPr>
              <w:bidi/>
              <w:jc w:val="center"/>
              <w:rPr>
                <w:rFonts w:cs="Arial"/>
              </w:rPr>
            </w:pPr>
            <w:r w:rsidRPr="0061495A">
              <w:rPr>
                <w:rFonts w:cs="Arial"/>
                <w:color w:val="000000"/>
                <w:rtl/>
                <w:lang w:eastAsia="ar"/>
              </w:rPr>
              <w:t>الأدنى: -5% إلى -15%</w:t>
            </w:r>
          </w:p>
        </w:tc>
        <w:tc>
          <w:tcPr>
            <w:tcW w:w="3604" w:type="dxa"/>
          </w:tcPr>
          <w:p w14:paraId="59F58D49"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الأدنى: -3% إلى -10%</w:t>
            </w:r>
          </w:p>
          <w:p w14:paraId="3C3A1711" w14:textId="77777777" w:rsidR="00D876A8" w:rsidRPr="0061495A" w:rsidRDefault="00D876A8" w:rsidP="003531F3">
            <w:pPr>
              <w:bidi/>
              <w:jc w:val="center"/>
              <w:rPr>
                <w:rFonts w:cs="Arial"/>
              </w:rPr>
            </w:pPr>
          </w:p>
        </w:tc>
      </w:tr>
      <w:tr w:rsidR="00D876A8" w:rsidRPr="0061495A" w14:paraId="477FAE17" w14:textId="77777777" w:rsidTr="00170628">
        <w:tc>
          <w:tcPr>
            <w:tcW w:w="3604" w:type="dxa"/>
            <w:vMerge/>
            <w:shd w:val="clear" w:color="auto" w:fill="D2DCE4"/>
          </w:tcPr>
          <w:p w14:paraId="0BD6E55B" w14:textId="77777777" w:rsidR="00D876A8" w:rsidRPr="00170628" w:rsidRDefault="00D876A8" w:rsidP="003531F3">
            <w:pPr>
              <w:bidi/>
              <w:rPr>
                <w:rFonts w:cs="Arial"/>
                <w:b/>
                <w:sz w:val="24"/>
                <w:szCs w:val="24"/>
              </w:rPr>
            </w:pPr>
          </w:p>
        </w:tc>
        <w:tc>
          <w:tcPr>
            <w:tcW w:w="3604" w:type="dxa"/>
          </w:tcPr>
          <w:p w14:paraId="4E2991B9"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الأعلى: +30% إلى +100%</w:t>
            </w:r>
          </w:p>
          <w:p w14:paraId="2BC852DB" w14:textId="77777777" w:rsidR="00D876A8" w:rsidRPr="0061495A" w:rsidRDefault="00D876A8" w:rsidP="003531F3">
            <w:pPr>
              <w:bidi/>
              <w:jc w:val="center"/>
              <w:rPr>
                <w:rFonts w:cs="Arial"/>
              </w:rPr>
            </w:pPr>
          </w:p>
        </w:tc>
        <w:tc>
          <w:tcPr>
            <w:tcW w:w="3604" w:type="dxa"/>
          </w:tcPr>
          <w:p w14:paraId="3F1F5D92"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الأعلى: +20% إلى +50%</w:t>
            </w:r>
          </w:p>
          <w:p w14:paraId="315584DA" w14:textId="77777777" w:rsidR="00D876A8" w:rsidRPr="0061495A" w:rsidRDefault="00D876A8" w:rsidP="003531F3">
            <w:pPr>
              <w:bidi/>
              <w:jc w:val="center"/>
              <w:rPr>
                <w:rFonts w:cs="Arial"/>
              </w:rPr>
            </w:pPr>
          </w:p>
        </w:tc>
        <w:tc>
          <w:tcPr>
            <w:tcW w:w="3604" w:type="dxa"/>
          </w:tcPr>
          <w:p w14:paraId="38D67EBB" w14:textId="77777777" w:rsidR="00D876A8" w:rsidRPr="0061495A" w:rsidRDefault="00D876A8" w:rsidP="003531F3">
            <w:pPr>
              <w:bidi/>
              <w:jc w:val="center"/>
              <w:rPr>
                <w:rFonts w:cs="Arial"/>
              </w:rPr>
            </w:pPr>
            <w:r w:rsidRPr="0061495A">
              <w:rPr>
                <w:rFonts w:cs="Arial"/>
                <w:color w:val="000000"/>
                <w:rtl/>
                <w:lang w:eastAsia="ar"/>
              </w:rPr>
              <w:t>الأعلى: +10% إلى +30%</w:t>
            </w:r>
          </w:p>
        </w:tc>
        <w:tc>
          <w:tcPr>
            <w:tcW w:w="3604" w:type="dxa"/>
          </w:tcPr>
          <w:p w14:paraId="17C8961E" w14:textId="77777777" w:rsidR="00D876A8" w:rsidRPr="0061495A" w:rsidRDefault="00D876A8" w:rsidP="003531F3">
            <w:pPr>
              <w:bidi/>
              <w:jc w:val="center"/>
              <w:rPr>
                <w:rFonts w:cs="Arial"/>
              </w:rPr>
            </w:pPr>
            <w:r w:rsidRPr="0061495A">
              <w:rPr>
                <w:rFonts w:cs="Arial"/>
                <w:color w:val="000000"/>
                <w:rtl/>
                <w:lang w:eastAsia="ar"/>
              </w:rPr>
              <w:t>الأعلى: +5% إلى +20%</w:t>
            </w:r>
          </w:p>
        </w:tc>
        <w:tc>
          <w:tcPr>
            <w:tcW w:w="3604" w:type="dxa"/>
          </w:tcPr>
          <w:p w14:paraId="0533A9A2"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الأعلى: +3% إلى +15%</w:t>
            </w:r>
          </w:p>
          <w:p w14:paraId="29FF7030" w14:textId="77777777" w:rsidR="00D876A8" w:rsidRPr="0061495A" w:rsidRDefault="00D876A8" w:rsidP="003531F3">
            <w:pPr>
              <w:bidi/>
              <w:jc w:val="center"/>
              <w:rPr>
                <w:rFonts w:cs="Arial"/>
              </w:rPr>
            </w:pPr>
          </w:p>
        </w:tc>
      </w:tr>
      <w:tr w:rsidR="00D876A8" w:rsidRPr="0061495A" w14:paraId="58BB51A5" w14:textId="77777777" w:rsidTr="00170628">
        <w:tc>
          <w:tcPr>
            <w:tcW w:w="3604" w:type="dxa"/>
            <w:shd w:val="clear" w:color="auto" w:fill="D2DCE4"/>
          </w:tcPr>
          <w:p w14:paraId="08467B3B" w14:textId="77777777" w:rsidR="00D876A8" w:rsidRPr="00170628" w:rsidRDefault="00D876A8" w:rsidP="003531F3">
            <w:pPr>
              <w:bidi/>
              <w:rPr>
                <w:rFonts w:cs="Arial"/>
                <w:b/>
                <w:color w:val="000000"/>
                <w:sz w:val="24"/>
                <w:szCs w:val="24"/>
                <w:lang w:val="x-none"/>
              </w:rPr>
            </w:pPr>
          </w:p>
          <w:p w14:paraId="12F235DE" w14:textId="77777777" w:rsidR="00D876A8" w:rsidRPr="00170628" w:rsidRDefault="00D876A8" w:rsidP="003531F3">
            <w:pPr>
              <w:bidi/>
              <w:rPr>
                <w:rFonts w:cs="Arial"/>
                <w:b/>
                <w:color w:val="000000"/>
                <w:sz w:val="24"/>
                <w:szCs w:val="24"/>
              </w:rPr>
            </w:pPr>
            <w:r w:rsidRPr="00170628">
              <w:rPr>
                <w:rFonts w:cs="Arial"/>
                <w:b/>
                <w:bCs/>
                <w:color w:val="000000"/>
                <w:sz w:val="24"/>
                <w:szCs w:val="24"/>
                <w:rtl/>
                <w:lang w:eastAsia="ar"/>
              </w:rPr>
              <w:t>وصف التقدير</w:t>
            </w:r>
          </w:p>
          <w:p w14:paraId="7109384C" w14:textId="77777777" w:rsidR="00D876A8" w:rsidRPr="00170628" w:rsidRDefault="00D876A8" w:rsidP="003531F3">
            <w:pPr>
              <w:bidi/>
              <w:rPr>
                <w:rFonts w:cs="Arial"/>
                <w:b/>
                <w:sz w:val="24"/>
                <w:szCs w:val="24"/>
              </w:rPr>
            </w:pPr>
          </w:p>
        </w:tc>
        <w:tc>
          <w:tcPr>
            <w:tcW w:w="3604" w:type="dxa"/>
          </w:tcPr>
          <w:p w14:paraId="09C1B3B9" w14:textId="77777777" w:rsidR="00D876A8" w:rsidRDefault="00D876A8" w:rsidP="003531F3">
            <w:pPr>
              <w:bidi/>
              <w:jc w:val="center"/>
              <w:rPr>
                <w:rFonts w:cs="Arial"/>
                <w:color w:val="000000"/>
                <w:lang w:val="x-none"/>
              </w:rPr>
            </w:pPr>
          </w:p>
          <w:p w14:paraId="67187A46" w14:textId="77777777" w:rsidR="00D876A8" w:rsidRPr="0061495A" w:rsidRDefault="00D876A8" w:rsidP="003531F3">
            <w:pPr>
              <w:bidi/>
              <w:jc w:val="center"/>
              <w:rPr>
                <w:rFonts w:cs="Arial"/>
              </w:rPr>
            </w:pPr>
            <w:r w:rsidRPr="0061495A">
              <w:rPr>
                <w:rFonts w:cs="Arial"/>
                <w:color w:val="000000"/>
                <w:rtl/>
                <w:lang w:eastAsia="ar"/>
              </w:rPr>
              <w:t>دلاليّ / تصوّريّ</w:t>
            </w:r>
          </w:p>
        </w:tc>
        <w:tc>
          <w:tcPr>
            <w:tcW w:w="3604" w:type="dxa"/>
          </w:tcPr>
          <w:p w14:paraId="3117C6DE" w14:textId="77777777" w:rsidR="00D876A8" w:rsidRDefault="00D876A8" w:rsidP="003531F3">
            <w:pPr>
              <w:autoSpaceDE w:val="0"/>
              <w:autoSpaceDN w:val="0"/>
              <w:bidi/>
              <w:adjustRightInd w:val="0"/>
              <w:snapToGrid w:val="0"/>
              <w:jc w:val="center"/>
              <w:rPr>
                <w:rFonts w:cs="Arial"/>
                <w:color w:val="000000"/>
                <w:lang w:val="x-none"/>
              </w:rPr>
            </w:pPr>
          </w:p>
          <w:p w14:paraId="7834FAA7"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الجدوى / أمر تقدير النطاق</w:t>
            </w:r>
          </w:p>
          <w:p w14:paraId="2380C7DD" w14:textId="77777777" w:rsidR="00D876A8" w:rsidRPr="0061495A" w:rsidRDefault="00D876A8" w:rsidP="003531F3">
            <w:pPr>
              <w:bidi/>
              <w:jc w:val="center"/>
              <w:rPr>
                <w:rFonts w:cs="Arial"/>
              </w:rPr>
            </w:pPr>
          </w:p>
        </w:tc>
        <w:tc>
          <w:tcPr>
            <w:tcW w:w="3604" w:type="dxa"/>
          </w:tcPr>
          <w:p w14:paraId="1E80320B" w14:textId="77777777" w:rsidR="00D876A8" w:rsidRDefault="00D876A8" w:rsidP="003531F3">
            <w:pPr>
              <w:autoSpaceDE w:val="0"/>
              <w:autoSpaceDN w:val="0"/>
              <w:bidi/>
              <w:adjustRightInd w:val="0"/>
              <w:snapToGrid w:val="0"/>
              <w:jc w:val="center"/>
              <w:rPr>
                <w:rFonts w:cs="Arial"/>
                <w:color w:val="000000"/>
                <w:lang w:val="x-none"/>
              </w:rPr>
            </w:pPr>
          </w:p>
          <w:p w14:paraId="370C91C9"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أوليّ</w:t>
            </w:r>
          </w:p>
          <w:p w14:paraId="784191ED" w14:textId="77777777" w:rsidR="00D876A8" w:rsidRPr="0061495A" w:rsidRDefault="00D876A8" w:rsidP="003531F3">
            <w:pPr>
              <w:bidi/>
              <w:jc w:val="center"/>
              <w:rPr>
                <w:rFonts w:cs="Arial"/>
              </w:rPr>
            </w:pPr>
          </w:p>
        </w:tc>
        <w:tc>
          <w:tcPr>
            <w:tcW w:w="3604" w:type="dxa"/>
          </w:tcPr>
          <w:p w14:paraId="06881D00" w14:textId="77777777" w:rsidR="00D876A8" w:rsidRDefault="00D876A8" w:rsidP="003531F3">
            <w:pPr>
              <w:bidi/>
              <w:jc w:val="center"/>
              <w:rPr>
                <w:rFonts w:cs="Arial"/>
                <w:color w:val="000000"/>
                <w:lang w:val="x-none"/>
              </w:rPr>
            </w:pPr>
          </w:p>
          <w:p w14:paraId="2ECD2BB1" w14:textId="77777777" w:rsidR="00D876A8" w:rsidRPr="0061495A" w:rsidRDefault="00D876A8" w:rsidP="003531F3">
            <w:pPr>
              <w:bidi/>
              <w:jc w:val="center"/>
              <w:rPr>
                <w:rFonts w:cs="Arial"/>
              </w:rPr>
            </w:pPr>
            <w:r w:rsidRPr="0061495A">
              <w:rPr>
                <w:rFonts w:cs="Arial"/>
                <w:color w:val="000000"/>
                <w:rtl/>
                <w:lang w:eastAsia="ar"/>
              </w:rPr>
              <w:t>خاص بالمهندسين</w:t>
            </w:r>
          </w:p>
        </w:tc>
        <w:tc>
          <w:tcPr>
            <w:tcW w:w="3604" w:type="dxa"/>
          </w:tcPr>
          <w:p w14:paraId="101202F7" w14:textId="77777777" w:rsidR="00D876A8" w:rsidRDefault="00D876A8" w:rsidP="003531F3">
            <w:pPr>
              <w:autoSpaceDE w:val="0"/>
              <w:autoSpaceDN w:val="0"/>
              <w:bidi/>
              <w:adjustRightInd w:val="0"/>
              <w:snapToGrid w:val="0"/>
              <w:jc w:val="center"/>
              <w:rPr>
                <w:rFonts w:cs="Arial"/>
                <w:color w:val="000000"/>
                <w:lang w:val="x-none"/>
              </w:rPr>
            </w:pPr>
          </w:p>
          <w:p w14:paraId="1E087328"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نهائيّ</w:t>
            </w:r>
          </w:p>
          <w:p w14:paraId="45368C90" w14:textId="77777777" w:rsidR="00D876A8" w:rsidRPr="0061495A" w:rsidRDefault="00D876A8" w:rsidP="003531F3">
            <w:pPr>
              <w:bidi/>
              <w:jc w:val="center"/>
              <w:rPr>
                <w:rFonts w:cs="Arial"/>
              </w:rPr>
            </w:pPr>
          </w:p>
        </w:tc>
      </w:tr>
      <w:tr w:rsidR="00D876A8" w:rsidRPr="0061495A" w14:paraId="40ADBD4C" w14:textId="77777777" w:rsidTr="00170628">
        <w:tc>
          <w:tcPr>
            <w:tcW w:w="3604" w:type="dxa"/>
            <w:shd w:val="clear" w:color="auto" w:fill="D2DCE4"/>
          </w:tcPr>
          <w:p w14:paraId="2537FEE9" w14:textId="77777777" w:rsidR="00D876A8" w:rsidRPr="00170628" w:rsidRDefault="00D876A8" w:rsidP="003531F3">
            <w:pPr>
              <w:autoSpaceDE w:val="0"/>
              <w:autoSpaceDN w:val="0"/>
              <w:bidi/>
              <w:adjustRightInd w:val="0"/>
              <w:snapToGrid w:val="0"/>
              <w:jc w:val="left"/>
              <w:rPr>
                <w:rFonts w:cs="Arial"/>
                <w:b/>
                <w:color w:val="000000"/>
                <w:sz w:val="24"/>
                <w:szCs w:val="24"/>
                <w:lang w:val="x-none"/>
              </w:rPr>
            </w:pPr>
          </w:p>
          <w:p w14:paraId="703AED8F" w14:textId="77777777" w:rsidR="00D876A8" w:rsidRPr="00170628" w:rsidRDefault="00D876A8" w:rsidP="003531F3">
            <w:pPr>
              <w:autoSpaceDE w:val="0"/>
              <w:autoSpaceDN w:val="0"/>
              <w:bidi/>
              <w:adjustRightInd w:val="0"/>
              <w:snapToGrid w:val="0"/>
              <w:jc w:val="left"/>
              <w:rPr>
                <w:rFonts w:cs="Arial"/>
                <w:b/>
                <w:color w:val="000000"/>
                <w:sz w:val="24"/>
                <w:szCs w:val="24"/>
                <w:lang w:val="x-none"/>
              </w:rPr>
            </w:pPr>
            <w:r w:rsidRPr="00170628">
              <w:rPr>
                <w:rFonts w:cs="Arial"/>
                <w:b/>
                <w:bCs/>
                <w:color w:val="000000"/>
                <w:sz w:val="24"/>
                <w:szCs w:val="24"/>
                <w:rtl/>
                <w:lang w:eastAsia="ar"/>
              </w:rPr>
              <w:t>الاستخدام النموذجي</w:t>
            </w:r>
          </w:p>
          <w:p w14:paraId="1FB87AA4" w14:textId="77777777" w:rsidR="00D876A8" w:rsidRPr="00170628" w:rsidRDefault="00D876A8" w:rsidP="003531F3">
            <w:pPr>
              <w:bidi/>
              <w:rPr>
                <w:rFonts w:cs="Arial"/>
                <w:b/>
                <w:sz w:val="24"/>
                <w:szCs w:val="24"/>
              </w:rPr>
            </w:pPr>
          </w:p>
        </w:tc>
        <w:tc>
          <w:tcPr>
            <w:tcW w:w="3604" w:type="dxa"/>
          </w:tcPr>
          <w:p w14:paraId="0345AA71" w14:textId="77777777" w:rsidR="00D876A8" w:rsidRDefault="00D876A8" w:rsidP="003531F3">
            <w:pPr>
              <w:bidi/>
              <w:jc w:val="center"/>
              <w:rPr>
                <w:rFonts w:cs="Arial"/>
                <w:color w:val="000000"/>
                <w:lang w:val="x-none"/>
              </w:rPr>
            </w:pPr>
          </w:p>
          <w:p w14:paraId="22A861C2" w14:textId="77777777" w:rsidR="00D876A8" w:rsidRDefault="00D876A8" w:rsidP="003531F3">
            <w:pPr>
              <w:bidi/>
              <w:jc w:val="center"/>
              <w:rPr>
                <w:rFonts w:cs="Arial"/>
                <w:color w:val="000000"/>
              </w:rPr>
            </w:pPr>
            <w:r w:rsidRPr="0061495A">
              <w:rPr>
                <w:rFonts w:cs="Arial"/>
                <w:color w:val="000000"/>
                <w:rtl/>
                <w:lang w:eastAsia="ar"/>
              </w:rPr>
              <w:t>فحص المشروع ودراسة قابليته للاستمرار، ودراسات السوق، وتقييم البرامج البديلة.</w:t>
            </w:r>
          </w:p>
          <w:p w14:paraId="30BB0581" w14:textId="77777777" w:rsidR="00D876A8" w:rsidRPr="0061495A" w:rsidRDefault="00D876A8" w:rsidP="003531F3">
            <w:pPr>
              <w:bidi/>
              <w:jc w:val="center"/>
              <w:rPr>
                <w:rFonts w:cs="Arial"/>
              </w:rPr>
            </w:pPr>
          </w:p>
        </w:tc>
        <w:tc>
          <w:tcPr>
            <w:tcW w:w="3604" w:type="dxa"/>
          </w:tcPr>
          <w:p w14:paraId="11CEEEEC" w14:textId="77777777" w:rsidR="00D876A8" w:rsidRDefault="00D876A8" w:rsidP="003531F3">
            <w:pPr>
              <w:autoSpaceDE w:val="0"/>
              <w:autoSpaceDN w:val="0"/>
              <w:bidi/>
              <w:adjustRightInd w:val="0"/>
              <w:snapToGrid w:val="0"/>
              <w:jc w:val="center"/>
              <w:rPr>
                <w:rFonts w:cs="Arial"/>
                <w:color w:val="000000"/>
                <w:lang w:val="x-none"/>
              </w:rPr>
            </w:pPr>
          </w:p>
          <w:p w14:paraId="4AB08B08"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دراسات التصوّر ودراسات الجدوى، أمر تحديد حجم المشروع</w:t>
            </w:r>
          </w:p>
          <w:p w14:paraId="71D28DB1" w14:textId="77777777" w:rsidR="00D876A8" w:rsidRPr="0061495A" w:rsidRDefault="00D876A8" w:rsidP="003531F3">
            <w:pPr>
              <w:bidi/>
              <w:jc w:val="center"/>
              <w:rPr>
                <w:rFonts w:cs="Arial"/>
              </w:rPr>
            </w:pPr>
          </w:p>
        </w:tc>
        <w:tc>
          <w:tcPr>
            <w:tcW w:w="3604" w:type="dxa"/>
          </w:tcPr>
          <w:p w14:paraId="3592ACB2" w14:textId="77777777" w:rsidR="00D876A8" w:rsidRDefault="00D876A8" w:rsidP="003531F3">
            <w:pPr>
              <w:autoSpaceDE w:val="0"/>
              <w:autoSpaceDN w:val="0"/>
              <w:bidi/>
              <w:adjustRightInd w:val="0"/>
              <w:snapToGrid w:val="0"/>
              <w:jc w:val="center"/>
              <w:rPr>
                <w:rFonts w:cs="Arial"/>
                <w:color w:val="000000"/>
                <w:lang w:val="x-none"/>
              </w:rPr>
            </w:pPr>
          </w:p>
          <w:p w14:paraId="56F809FF"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الميزانية الأوليّة والضبط، طلبات الدراسات والتمويل</w:t>
            </w:r>
          </w:p>
          <w:p w14:paraId="04A4539B" w14:textId="77777777" w:rsidR="00D876A8" w:rsidRPr="0061495A" w:rsidRDefault="00D876A8" w:rsidP="003531F3">
            <w:pPr>
              <w:bidi/>
              <w:jc w:val="center"/>
              <w:rPr>
                <w:rFonts w:cs="Arial"/>
              </w:rPr>
            </w:pPr>
          </w:p>
        </w:tc>
        <w:tc>
          <w:tcPr>
            <w:tcW w:w="3604" w:type="dxa"/>
          </w:tcPr>
          <w:p w14:paraId="2F281E3A" w14:textId="77777777" w:rsidR="00D876A8" w:rsidRDefault="00D876A8" w:rsidP="003531F3">
            <w:pPr>
              <w:bidi/>
              <w:jc w:val="center"/>
              <w:rPr>
                <w:rFonts w:cs="Arial"/>
                <w:color w:val="000000"/>
                <w:lang w:val="x-none"/>
              </w:rPr>
            </w:pPr>
          </w:p>
          <w:p w14:paraId="311C6466" w14:textId="77777777" w:rsidR="00D876A8" w:rsidRPr="0061495A" w:rsidRDefault="00D876A8" w:rsidP="003531F3">
            <w:pPr>
              <w:bidi/>
              <w:jc w:val="center"/>
              <w:rPr>
                <w:rFonts w:cs="Arial"/>
              </w:rPr>
            </w:pPr>
            <w:r w:rsidRPr="0061495A">
              <w:rPr>
                <w:rFonts w:cs="Arial"/>
                <w:color w:val="000000"/>
                <w:rtl/>
                <w:lang w:eastAsia="ar"/>
              </w:rPr>
              <w:t>ميزانية تنفيذ المشروع وضبطه</w:t>
            </w:r>
          </w:p>
        </w:tc>
        <w:tc>
          <w:tcPr>
            <w:tcW w:w="3604" w:type="dxa"/>
          </w:tcPr>
          <w:p w14:paraId="294461EA" w14:textId="77777777" w:rsidR="00D876A8" w:rsidRDefault="00D876A8" w:rsidP="003531F3">
            <w:pPr>
              <w:autoSpaceDE w:val="0"/>
              <w:autoSpaceDN w:val="0"/>
              <w:bidi/>
              <w:adjustRightInd w:val="0"/>
              <w:snapToGrid w:val="0"/>
              <w:jc w:val="center"/>
              <w:rPr>
                <w:rFonts w:cs="Arial"/>
                <w:color w:val="000000"/>
                <w:lang w:val="x-none"/>
              </w:rPr>
            </w:pPr>
          </w:p>
          <w:p w14:paraId="3F6D2513"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التحقق من التقديرات</w:t>
            </w:r>
          </w:p>
          <w:p w14:paraId="5934264A" w14:textId="77777777" w:rsidR="00D876A8" w:rsidRPr="0061495A" w:rsidRDefault="00D876A8" w:rsidP="003531F3">
            <w:pPr>
              <w:bidi/>
              <w:jc w:val="center"/>
              <w:rPr>
                <w:rFonts w:cs="Arial"/>
              </w:rPr>
            </w:pPr>
          </w:p>
        </w:tc>
      </w:tr>
      <w:tr w:rsidR="00D876A8" w:rsidRPr="0061495A" w14:paraId="64803C44" w14:textId="77777777" w:rsidTr="00170628">
        <w:tc>
          <w:tcPr>
            <w:tcW w:w="3604" w:type="dxa"/>
            <w:shd w:val="clear" w:color="auto" w:fill="D2DCE4"/>
          </w:tcPr>
          <w:p w14:paraId="6443F356" w14:textId="77777777" w:rsidR="00D876A8" w:rsidRPr="00170628" w:rsidRDefault="00D876A8" w:rsidP="003531F3">
            <w:pPr>
              <w:bidi/>
              <w:rPr>
                <w:rFonts w:cs="Arial"/>
                <w:b/>
                <w:color w:val="000000"/>
                <w:sz w:val="24"/>
                <w:szCs w:val="24"/>
                <w:lang w:val="x-none"/>
              </w:rPr>
            </w:pPr>
          </w:p>
          <w:p w14:paraId="1DDB0535" w14:textId="77777777" w:rsidR="00D876A8" w:rsidRPr="00170628" w:rsidRDefault="00D876A8" w:rsidP="003531F3">
            <w:pPr>
              <w:bidi/>
              <w:rPr>
                <w:rFonts w:cs="Arial"/>
                <w:b/>
                <w:color w:val="000000"/>
                <w:sz w:val="24"/>
                <w:szCs w:val="24"/>
                <w:lang w:val="x-none"/>
              </w:rPr>
            </w:pPr>
            <w:r w:rsidRPr="00170628">
              <w:rPr>
                <w:rFonts w:cs="Arial"/>
                <w:b/>
                <w:bCs/>
                <w:color w:val="000000"/>
                <w:sz w:val="24"/>
                <w:szCs w:val="24"/>
                <w:rtl/>
                <w:lang w:eastAsia="ar"/>
              </w:rPr>
              <w:t>النسبة المئوية لأعمال الهندسة المكتملة</w:t>
            </w:r>
          </w:p>
          <w:p w14:paraId="7663895C" w14:textId="77777777" w:rsidR="00D876A8" w:rsidRPr="00170628" w:rsidRDefault="00D876A8" w:rsidP="003531F3">
            <w:pPr>
              <w:bidi/>
              <w:rPr>
                <w:rFonts w:cs="Arial"/>
                <w:b/>
                <w:sz w:val="24"/>
                <w:szCs w:val="24"/>
              </w:rPr>
            </w:pPr>
          </w:p>
        </w:tc>
        <w:tc>
          <w:tcPr>
            <w:tcW w:w="3604" w:type="dxa"/>
          </w:tcPr>
          <w:p w14:paraId="639976B8" w14:textId="77777777" w:rsidR="00D876A8" w:rsidRDefault="00D876A8" w:rsidP="003531F3">
            <w:pPr>
              <w:bidi/>
              <w:jc w:val="center"/>
              <w:rPr>
                <w:rFonts w:cs="Arial"/>
                <w:color w:val="000000"/>
                <w:lang w:val="x-none"/>
              </w:rPr>
            </w:pPr>
          </w:p>
          <w:p w14:paraId="116C6B0E" w14:textId="77777777" w:rsidR="00D876A8" w:rsidRPr="0061495A" w:rsidRDefault="00D876A8" w:rsidP="003531F3">
            <w:pPr>
              <w:bidi/>
              <w:jc w:val="center"/>
              <w:rPr>
                <w:rFonts w:cs="Arial"/>
              </w:rPr>
            </w:pPr>
            <w:r w:rsidRPr="0061495A">
              <w:rPr>
                <w:rFonts w:cs="Arial"/>
                <w:color w:val="000000"/>
                <w:rtl/>
                <w:lang w:eastAsia="ar"/>
              </w:rPr>
              <w:t>0% إلى 2%</w:t>
            </w:r>
          </w:p>
        </w:tc>
        <w:tc>
          <w:tcPr>
            <w:tcW w:w="3604" w:type="dxa"/>
          </w:tcPr>
          <w:p w14:paraId="0753B562" w14:textId="77777777" w:rsidR="00D876A8" w:rsidRDefault="00D876A8" w:rsidP="003531F3">
            <w:pPr>
              <w:bidi/>
              <w:jc w:val="center"/>
              <w:rPr>
                <w:rFonts w:cs="Arial"/>
                <w:color w:val="000000"/>
                <w:lang w:val="x-none"/>
              </w:rPr>
            </w:pPr>
          </w:p>
          <w:p w14:paraId="3162140B" w14:textId="77777777" w:rsidR="00D876A8" w:rsidRPr="0061495A" w:rsidRDefault="00D876A8" w:rsidP="003531F3">
            <w:pPr>
              <w:bidi/>
              <w:jc w:val="center"/>
              <w:rPr>
                <w:rFonts w:cs="Arial"/>
              </w:rPr>
            </w:pPr>
            <w:r w:rsidRPr="0061495A">
              <w:rPr>
                <w:rFonts w:cs="Arial"/>
                <w:color w:val="000000"/>
                <w:rtl/>
                <w:lang w:eastAsia="ar"/>
              </w:rPr>
              <w:t>1% إلى 15%</w:t>
            </w:r>
          </w:p>
        </w:tc>
        <w:tc>
          <w:tcPr>
            <w:tcW w:w="3604" w:type="dxa"/>
          </w:tcPr>
          <w:p w14:paraId="1AA7C09E" w14:textId="77777777" w:rsidR="00D876A8" w:rsidRDefault="00D876A8" w:rsidP="003531F3">
            <w:pPr>
              <w:bidi/>
              <w:jc w:val="center"/>
              <w:rPr>
                <w:rFonts w:cs="Arial"/>
                <w:color w:val="000000"/>
                <w:lang w:val="x-none"/>
              </w:rPr>
            </w:pPr>
          </w:p>
          <w:p w14:paraId="30951FFA" w14:textId="77777777" w:rsidR="00D876A8" w:rsidRPr="0061495A" w:rsidRDefault="00D876A8" w:rsidP="003531F3">
            <w:pPr>
              <w:bidi/>
              <w:jc w:val="center"/>
              <w:rPr>
                <w:rFonts w:cs="Arial"/>
              </w:rPr>
            </w:pPr>
            <w:r w:rsidRPr="0061495A">
              <w:rPr>
                <w:rFonts w:cs="Arial"/>
                <w:color w:val="000000"/>
                <w:rtl/>
                <w:lang w:eastAsia="ar"/>
              </w:rPr>
              <w:t>10% إلى 40%</w:t>
            </w:r>
          </w:p>
        </w:tc>
        <w:tc>
          <w:tcPr>
            <w:tcW w:w="3604" w:type="dxa"/>
          </w:tcPr>
          <w:p w14:paraId="63F88499" w14:textId="77777777" w:rsidR="00D876A8" w:rsidRDefault="00D876A8" w:rsidP="003531F3">
            <w:pPr>
              <w:bidi/>
              <w:jc w:val="center"/>
              <w:rPr>
                <w:rFonts w:cs="Arial"/>
                <w:color w:val="000000"/>
                <w:lang w:val="x-none"/>
              </w:rPr>
            </w:pPr>
          </w:p>
          <w:p w14:paraId="5003C60F" w14:textId="77777777" w:rsidR="00D876A8" w:rsidRPr="0061495A" w:rsidRDefault="00D876A8" w:rsidP="003531F3">
            <w:pPr>
              <w:bidi/>
              <w:jc w:val="center"/>
              <w:rPr>
                <w:rFonts w:cs="Arial"/>
              </w:rPr>
            </w:pPr>
            <w:r w:rsidRPr="0061495A">
              <w:rPr>
                <w:rFonts w:cs="Arial"/>
                <w:color w:val="000000"/>
                <w:rtl/>
                <w:lang w:eastAsia="ar"/>
              </w:rPr>
              <w:t>30% إلى 70%</w:t>
            </w:r>
          </w:p>
        </w:tc>
        <w:tc>
          <w:tcPr>
            <w:tcW w:w="3604" w:type="dxa"/>
          </w:tcPr>
          <w:p w14:paraId="3BD21D8B" w14:textId="77777777" w:rsidR="00D876A8" w:rsidRDefault="00D876A8" w:rsidP="003531F3">
            <w:pPr>
              <w:autoSpaceDE w:val="0"/>
              <w:autoSpaceDN w:val="0"/>
              <w:bidi/>
              <w:adjustRightInd w:val="0"/>
              <w:snapToGrid w:val="0"/>
              <w:jc w:val="center"/>
              <w:rPr>
                <w:rFonts w:cs="Arial"/>
                <w:color w:val="000000"/>
                <w:lang w:val="x-none"/>
              </w:rPr>
            </w:pPr>
          </w:p>
          <w:p w14:paraId="06C42D26"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50% إلى 100%</w:t>
            </w:r>
          </w:p>
          <w:p w14:paraId="2F04C181" w14:textId="77777777" w:rsidR="00D876A8" w:rsidRPr="0061495A" w:rsidRDefault="00D876A8" w:rsidP="003531F3">
            <w:pPr>
              <w:bidi/>
              <w:jc w:val="center"/>
              <w:rPr>
                <w:rFonts w:cs="Arial"/>
              </w:rPr>
            </w:pPr>
          </w:p>
        </w:tc>
      </w:tr>
      <w:tr w:rsidR="00D876A8" w:rsidRPr="0061495A" w14:paraId="73AE0D01" w14:textId="77777777" w:rsidTr="00170628">
        <w:tc>
          <w:tcPr>
            <w:tcW w:w="3604" w:type="dxa"/>
            <w:shd w:val="clear" w:color="auto" w:fill="D2DCE4"/>
          </w:tcPr>
          <w:p w14:paraId="2694E4B5" w14:textId="77777777" w:rsidR="00D876A8" w:rsidRPr="00170628" w:rsidRDefault="00D876A8" w:rsidP="003531F3">
            <w:pPr>
              <w:bidi/>
              <w:rPr>
                <w:rFonts w:cs="Arial"/>
                <w:b/>
                <w:color w:val="000000"/>
                <w:sz w:val="24"/>
                <w:szCs w:val="24"/>
                <w:lang w:val="x-none"/>
              </w:rPr>
            </w:pPr>
          </w:p>
          <w:p w14:paraId="3916ABBA" w14:textId="77777777" w:rsidR="00D876A8" w:rsidRPr="00170628" w:rsidRDefault="00D876A8" w:rsidP="003531F3">
            <w:pPr>
              <w:bidi/>
              <w:rPr>
                <w:rFonts w:cs="Arial"/>
                <w:b/>
                <w:color w:val="000000"/>
                <w:sz w:val="24"/>
                <w:szCs w:val="24"/>
                <w:lang w:val="x-none"/>
              </w:rPr>
            </w:pPr>
            <w:r w:rsidRPr="00170628">
              <w:rPr>
                <w:rFonts w:cs="Arial"/>
                <w:b/>
                <w:bCs/>
                <w:color w:val="000000"/>
                <w:sz w:val="24"/>
                <w:szCs w:val="24"/>
                <w:rtl/>
                <w:lang w:eastAsia="ar"/>
              </w:rPr>
              <w:t>مستوى تعريف المشروع</w:t>
            </w:r>
          </w:p>
          <w:p w14:paraId="35C6CC59" w14:textId="77777777" w:rsidR="00D876A8" w:rsidRPr="00170628" w:rsidRDefault="00D876A8" w:rsidP="003531F3">
            <w:pPr>
              <w:bidi/>
              <w:rPr>
                <w:rFonts w:cs="Arial"/>
                <w:b/>
                <w:sz w:val="24"/>
                <w:szCs w:val="24"/>
              </w:rPr>
            </w:pPr>
          </w:p>
        </w:tc>
        <w:tc>
          <w:tcPr>
            <w:tcW w:w="18020" w:type="dxa"/>
            <w:gridSpan w:val="5"/>
          </w:tcPr>
          <w:p w14:paraId="269A3AA4" w14:textId="77777777" w:rsidR="00D876A8" w:rsidRPr="004B47E8" w:rsidRDefault="00D876A8" w:rsidP="003531F3">
            <w:pPr>
              <w:bidi/>
              <w:jc w:val="center"/>
              <w:rPr>
                <w:rFonts w:cs="Arial"/>
              </w:rPr>
            </w:pPr>
          </w:p>
          <w:p w14:paraId="05C863EC" w14:textId="245EAF46" w:rsidR="00D876A8" w:rsidRPr="004B47E8" w:rsidRDefault="00D876A8" w:rsidP="003531F3">
            <w:pPr>
              <w:bidi/>
              <w:jc w:val="center"/>
              <w:rPr>
                <w:rFonts w:cs="Arial"/>
              </w:rPr>
            </w:pPr>
            <w:r w:rsidRPr="004B47E8">
              <w:rPr>
                <w:rFonts w:cs="Arial"/>
                <w:color w:val="000000"/>
                <w:rtl/>
                <w:lang w:eastAsia="ar"/>
              </w:rPr>
              <w:t xml:space="preserve">(الرجاء الرجوع إلى الوثيقة </w:t>
            </w:r>
            <w:r w:rsidRPr="004B47E8">
              <w:rPr>
                <w:rFonts w:cs="Arial"/>
                <w:color w:val="000000"/>
                <w:lang w:eastAsia="ar" w:bidi="en-US"/>
              </w:rPr>
              <w:t>EPM-S00-RG</w:t>
            </w:r>
            <w:r w:rsidR="00170628">
              <w:rPr>
                <w:rFonts w:cs="Arial"/>
                <w:color w:val="000000"/>
                <w:lang w:eastAsia="ar" w:bidi="en-US"/>
              </w:rPr>
              <w:t>-000003</w:t>
            </w:r>
            <w:r w:rsidRPr="004B47E8">
              <w:rPr>
                <w:rFonts w:cs="Arial"/>
                <w:color w:val="000000"/>
                <w:rtl/>
                <w:lang w:eastAsia="ar"/>
              </w:rPr>
              <w:t xml:space="preserve"> – إرشادات القائمة التوضيحية بمُخرجات المشروع لدى الجهة العامة)</w:t>
            </w:r>
          </w:p>
        </w:tc>
      </w:tr>
      <w:tr w:rsidR="00D876A8" w:rsidRPr="0061495A" w14:paraId="7E8CE6FC" w14:textId="77777777" w:rsidTr="00170628">
        <w:tc>
          <w:tcPr>
            <w:tcW w:w="3604" w:type="dxa"/>
            <w:shd w:val="clear" w:color="auto" w:fill="D2DCE4"/>
          </w:tcPr>
          <w:p w14:paraId="7735C902" w14:textId="77777777" w:rsidR="00D876A8" w:rsidRPr="00170628" w:rsidRDefault="00D876A8" w:rsidP="003531F3">
            <w:pPr>
              <w:autoSpaceDE w:val="0"/>
              <w:autoSpaceDN w:val="0"/>
              <w:bidi/>
              <w:adjustRightInd w:val="0"/>
              <w:snapToGrid w:val="0"/>
              <w:jc w:val="left"/>
              <w:rPr>
                <w:rFonts w:cs="Arial"/>
                <w:b/>
                <w:color w:val="000000"/>
                <w:sz w:val="24"/>
                <w:szCs w:val="24"/>
                <w:lang w:val="x-none"/>
              </w:rPr>
            </w:pPr>
          </w:p>
          <w:p w14:paraId="656D566C" w14:textId="77777777" w:rsidR="00D876A8" w:rsidRPr="00170628" w:rsidRDefault="00D876A8" w:rsidP="003531F3">
            <w:pPr>
              <w:autoSpaceDE w:val="0"/>
              <w:autoSpaceDN w:val="0"/>
              <w:bidi/>
              <w:adjustRightInd w:val="0"/>
              <w:snapToGrid w:val="0"/>
              <w:jc w:val="left"/>
              <w:rPr>
                <w:rFonts w:cs="Arial"/>
                <w:b/>
                <w:color w:val="000000"/>
                <w:sz w:val="24"/>
                <w:szCs w:val="24"/>
                <w:lang w:val="x-none"/>
              </w:rPr>
            </w:pPr>
            <w:r w:rsidRPr="00170628">
              <w:rPr>
                <w:rFonts w:cs="Arial"/>
                <w:b/>
                <w:bCs/>
                <w:color w:val="000000"/>
                <w:sz w:val="24"/>
                <w:szCs w:val="24"/>
                <w:rtl/>
                <w:lang w:eastAsia="ar"/>
              </w:rPr>
              <w:t>المنهجية / الأسلوب النموذجي للتقدير</w:t>
            </w:r>
          </w:p>
          <w:p w14:paraId="2E996173" w14:textId="77777777" w:rsidR="00D876A8" w:rsidRPr="00170628" w:rsidRDefault="00D876A8" w:rsidP="003531F3">
            <w:pPr>
              <w:bidi/>
              <w:rPr>
                <w:rFonts w:cs="Arial"/>
                <w:b/>
                <w:sz w:val="24"/>
                <w:szCs w:val="24"/>
              </w:rPr>
            </w:pPr>
          </w:p>
        </w:tc>
        <w:tc>
          <w:tcPr>
            <w:tcW w:w="3604" w:type="dxa"/>
          </w:tcPr>
          <w:p w14:paraId="4D3C480D" w14:textId="77777777" w:rsidR="00D876A8" w:rsidRDefault="00D876A8" w:rsidP="003531F3">
            <w:pPr>
              <w:autoSpaceDE w:val="0"/>
              <w:autoSpaceDN w:val="0"/>
              <w:bidi/>
              <w:adjustRightInd w:val="0"/>
              <w:snapToGrid w:val="0"/>
              <w:jc w:val="center"/>
              <w:rPr>
                <w:rFonts w:cs="Arial"/>
                <w:color w:val="000000"/>
                <w:lang w:val="x-none"/>
              </w:rPr>
            </w:pPr>
          </w:p>
          <w:p w14:paraId="1CA4FB4F"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استخدام التكلفة الفعلية لمشروع سابق مشابه كأساس لتقدير تكلفة المشروع الحالي، إلى جانب استخدام عوامل النسب المئوية وحكم الخبراء.</w:t>
            </w:r>
          </w:p>
          <w:p w14:paraId="0049BE59" w14:textId="77777777" w:rsidR="00D876A8" w:rsidRPr="0061495A" w:rsidRDefault="00D876A8" w:rsidP="003531F3">
            <w:pPr>
              <w:bidi/>
              <w:jc w:val="center"/>
              <w:rPr>
                <w:rFonts w:cs="Arial"/>
              </w:rPr>
            </w:pPr>
          </w:p>
        </w:tc>
        <w:tc>
          <w:tcPr>
            <w:tcW w:w="3604" w:type="dxa"/>
          </w:tcPr>
          <w:p w14:paraId="28181C19" w14:textId="77777777" w:rsidR="00D876A8" w:rsidRDefault="00D876A8" w:rsidP="003531F3">
            <w:pPr>
              <w:autoSpaceDE w:val="0"/>
              <w:autoSpaceDN w:val="0"/>
              <w:bidi/>
              <w:adjustRightInd w:val="0"/>
              <w:snapToGrid w:val="0"/>
              <w:jc w:val="center"/>
              <w:rPr>
                <w:rFonts w:cs="Arial"/>
                <w:color w:val="000000"/>
                <w:lang w:val="x-none"/>
              </w:rPr>
            </w:pPr>
          </w:p>
          <w:p w14:paraId="3FFAB4AA"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استنادًا إلى العوامل الإجمالية حسب قدرة المصنع، وحجم المنشأة (الطول، والمساحة، والحجم) ، والرسوم البيانية للتكلفة/القدرة، وأساليب حساب النسبة، والمقارنة مع الأعمال المماثلة التي تم إنجازها سابقًا.</w:t>
            </w:r>
          </w:p>
          <w:p w14:paraId="0FF1ADDC" w14:textId="77777777" w:rsidR="00D876A8" w:rsidRPr="0061495A" w:rsidRDefault="00D876A8" w:rsidP="003531F3">
            <w:pPr>
              <w:bidi/>
              <w:jc w:val="center"/>
              <w:rPr>
                <w:rFonts w:cs="Arial"/>
              </w:rPr>
            </w:pPr>
          </w:p>
        </w:tc>
        <w:tc>
          <w:tcPr>
            <w:tcW w:w="3604" w:type="dxa"/>
          </w:tcPr>
          <w:p w14:paraId="45A78B11" w14:textId="77777777" w:rsidR="00D876A8" w:rsidRDefault="00D876A8" w:rsidP="003531F3">
            <w:pPr>
              <w:autoSpaceDE w:val="0"/>
              <w:autoSpaceDN w:val="0"/>
              <w:bidi/>
              <w:adjustRightInd w:val="0"/>
              <w:snapToGrid w:val="0"/>
              <w:jc w:val="center"/>
              <w:rPr>
                <w:rFonts w:cs="Arial"/>
                <w:color w:val="000000"/>
                <w:lang w:val="x-none"/>
              </w:rPr>
            </w:pPr>
          </w:p>
          <w:p w14:paraId="478EE337"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تصنيف التقديرات إلى معدات/عناصر رئيسية وكميات رئيسية (قد تقدر بعض الكميات أو تحتسب). تقتصر القوائم التفصيلية للمواد المجمعة على الأدوات المهمة بناءً على تحديد النطاق. حُددت منهجية أولية لتنفيذ المشروع تقارن بين التنفيذ الذاتي ونطاق العقد من الباطن. العناصر المتعلقة بالوقت على أساس الجدول الزمني الأولي.</w:t>
            </w:r>
          </w:p>
          <w:p w14:paraId="4FAF9F3A" w14:textId="77777777" w:rsidR="00D876A8" w:rsidRPr="0061495A" w:rsidRDefault="00D876A8" w:rsidP="003531F3">
            <w:pPr>
              <w:bidi/>
              <w:jc w:val="center"/>
              <w:rPr>
                <w:rFonts w:cs="Arial"/>
              </w:rPr>
            </w:pPr>
          </w:p>
        </w:tc>
        <w:tc>
          <w:tcPr>
            <w:tcW w:w="3604" w:type="dxa"/>
          </w:tcPr>
          <w:p w14:paraId="1F7C63A4" w14:textId="77777777" w:rsidR="00D876A8" w:rsidRDefault="00D876A8" w:rsidP="003531F3">
            <w:pPr>
              <w:autoSpaceDE w:val="0"/>
              <w:autoSpaceDN w:val="0"/>
              <w:bidi/>
              <w:adjustRightInd w:val="0"/>
              <w:snapToGrid w:val="0"/>
              <w:jc w:val="center"/>
              <w:rPr>
                <w:rFonts w:cs="Arial"/>
                <w:color w:val="000000"/>
                <w:lang w:val="x-none"/>
              </w:rPr>
            </w:pPr>
          </w:p>
          <w:p w14:paraId="02074FD1"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تتضمن القوائم التفصيلية لمواد جميع السلع الرئيسية من رسومات ومواصفات التصميم الهندسي.  بالنسبة إلى مجالات المشروع غير المحددة بصورة واضحة، قد يتم تطوير مستوى مفترض للاقتطاع التفصيلي (التفصيل القسري) ليستخدم كبند في التقديرات بدلًا من الاعتماد على منهجيات الحساب، كما تتوفر منهجية ثابتة لتنفيذ المشروع، وتعريف مفصل للوظائف غير المباشرة بما في ذلك الموظفين غير الحرفيين، ومعدات التشييد، والشحن، والتأمين وما إلى ذلك، وكذلك العناصر المتعلقة بالوقت على أساس الجدول الزمني الثابت.</w:t>
            </w:r>
          </w:p>
          <w:p w14:paraId="6D8DB21B" w14:textId="77777777" w:rsidR="00D876A8" w:rsidRPr="0061495A" w:rsidRDefault="00D876A8" w:rsidP="003531F3">
            <w:pPr>
              <w:bidi/>
              <w:jc w:val="center"/>
              <w:rPr>
                <w:rFonts w:cs="Arial"/>
              </w:rPr>
            </w:pPr>
          </w:p>
        </w:tc>
        <w:tc>
          <w:tcPr>
            <w:tcW w:w="3604" w:type="dxa"/>
          </w:tcPr>
          <w:p w14:paraId="6FF6A3F4" w14:textId="77777777" w:rsidR="00D876A8" w:rsidRDefault="00D876A8" w:rsidP="003531F3">
            <w:pPr>
              <w:autoSpaceDE w:val="0"/>
              <w:autoSpaceDN w:val="0"/>
              <w:bidi/>
              <w:adjustRightInd w:val="0"/>
              <w:snapToGrid w:val="0"/>
              <w:jc w:val="center"/>
              <w:rPr>
                <w:rFonts w:cs="Arial"/>
                <w:color w:val="000000"/>
                <w:lang w:val="x-none"/>
              </w:rPr>
            </w:pPr>
          </w:p>
          <w:p w14:paraId="63FCB901"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على غرار الفئة 2، باستثناء القوائم التفصيلية لمواد جميع السلع الرئيسية تقريبًا من رسومات ومواصفات التصميم الهندسي.</w:t>
            </w:r>
          </w:p>
          <w:p w14:paraId="715254D2" w14:textId="77777777" w:rsidR="00D876A8" w:rsidRPr="0061495A" w:rsidRDefault="00D876A8" w:rsidP="003531F3">
            <w:pPr>
              <w:bidi/>
              <w:jc w:val="center"/>
              <w:rPr>
                <w:rFonts w:cs="Arial"/>
              </w:rPr>
            </w:pPr>
          </w:p>
        </w:tc>
      </w:tr>
      <w:tr w:rsidR="00D876A8" w:rsidRPr="0061495A" w14:paraId="37204449" w14:textId="77777777" w:rsidTr="00170628">
        <w:tc>
          <w:tcPr>
            <w:tcW w:w="3604" w:type="dxa"/>
            <w:shd w:val="clear" w:color="auto" w:fill="D2DCE4"/>
          </w:tcPr>
          <w:p w14:paraId="7E86448F" w14:textId="77777777" w:rsidR="00D876A8" w:rsidRPr="00170628" w:rsidRDefault="00D876A8" w:rsidP="003531F3">
            <w:pPr>
              <w:autoSpaceDE w:val="0"/>
              <w:autoSpaceDN w:val="0"/>
              <w:bidi/>
              <w:adjustRightInd w:val="0"/>
              <w:snapToGrid w:val="0"/>
              <w:jc w:val="left"/>
              <w:rPr>
                <w:rFonts w:cs="Arial"/>
                <w:b/>
                <w:color w:val="000000"/>
                <w:sz w:val="24"/>
                <w:szCs w:val="24"/>
                <w:lang w:val="x-none"/>
              </w:rPr>
            </w:pPr>
          </w:p>
          <w:p w14:paraId="00011B43" w14:textId="77777777" w:rsidR="00D876A8" w:rsidRPr="00170628" w:rsidRDefault="00D876A8" w:rsidP="003531F3">
            <w:pPr>
              <w:autoSpaceDE w:val="0"/>
              <w:autoSpaceDN w:val="0"/>
              <w:bidi/>
              <w:adjustRightInd w:val="0"/>
              <w:snapToGrid w:val="0"/>
              <w:jc w:val="left"/>
              <w:rPr>
                <w:rFonts w:cs="Arial"/>
                <w:b/>
                <w:color w:val="000000"/>
                <w:sz w:val="24"/>
                <w:szCs w:val="24"/>
                <w:lang w:val="x-none"/>
              </w:rPr>
            </w:pPr>
            <w:r w:rsidRPr="00170628">
              <w:rPr>
                <w:rFonts w:cs="Arial"/>
                <w:b/>
                <w:bCs/>
                <w:color w:val="000000"/>
                <w:sz w:val="24"/>
                <w:szCs w:val="24"/>
                <w:rtl/>
                <w:lang w:eastAsia="ar"/>
              </w:rPr>
              <w:t>الأساس النموذجي لوحدات التكلفة</w:t>
            </w:r>
          </w:p>
          <w:p w14:paraId="457F8FD0" w14:textId="77777777" w:rsidR="00D876A8" w:rsidRPr="00170628" w:rsidRDefault="00D876A8" w:rsidP="003531F3">
            <w:pPr>
              <w:bidi/>
              <w:rPr>
                <w:rFonts w:cs="Arial"/>
                <w:b/>
                <w:sz w:val="24"/>
                <w:szCs w:val="24"/>
              </w:rPr>
            </w:pPr>
          </w:p>
        </w:tc>
        <w:tc>
          <w:tcPr>
            <w:tcW w:w="3604" w:type="dxa"/>
          </w:tcPr>
          <w:p w14:paraId="49BCFA6D" w14:textId="77777777" w:rsidR="00D876A8" w:rsidRDefault="00D876A8" w:rsidP="003531F3">
            <w:pPr>
              <w:autoSpaceDE w:val="0"/>
              <w:autoSpaceDN w:val="0"/>
              <w:bidi/>
              <w:adjustRightInd w:val="0"/>
              <w:snapToGrid w:val="0"/>
              <w:jc w:val="center"/>
              <w:rPr>
                <w:rFonts w:cs="Arial"/>
                <w:color w:val="000000"/>
                <w:lang w:val="x-none"/>
              </w:rPr>
            </w:pPr>
          </w:p>
          <w:p w14:paraId="71E00375"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التكاليف التقديرية القائمة على المعلومات السابقة (والتي يمكن تعديلها باستخدام المؤشرات) والمستمدة من التكاليف الأخرى وغيرها.</w:t>
            </w:r>
          </w:p>
          <w:p w14:paraId="39F193DE" w14:textId="77777777" w:rsidR="00D876A8" w:rsidRPr="0061495A" w:rsidRDefault="00D876A8" w:rsidP="003531F3">
            <w:pPr>
              <w:bidi/>
              <w:jc w:val="center"/>
              <w:rPr>
                <w:rFonts w:cs="Arial"/>
              </w:rPr>
            </w:pPr>
          </w:p>
        </w:tc>
        <w:tc>
          <w:tcPr>
            <w:tcW w:w="3604" w:type="dxa"/>
          </w:tcPr>
          <w:p w14:paraId="03C288F0" w14:textId="77777777" w:rsidR="00D876A8" w:rsidRDefault="00D876A8" w:rsidP="003531F3">
            <w:pPr>
              <w:autoSpaceDE w:val="0"/>
              <w:autoSpaceDN w:val="0"/>
              <w:bidi/>
              <w:adjustRightInd w:val="0"/>
              <w:snapToGrid w:val="0"/>
              <w:jc w:val="center"/>
              <w:rPr>
                <w:rFonts w:cs="Arial"/>
                <w:color w:val="000000"/>
                <w:lang w:val="x-none"/>
              </w:rPr>
            </w:pPr>
          </w:p>
          <w:p w14:paraId="590C1822"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التكاليف التقديرية القائمة على المعلومات السابقة (والتي يمكن تعديلها باستخدام المؤشرات) والمستمدة من التكاليف الأخرى وغيرها. كما يجوز تعديل العمالة وفقًا لظروف الموقع.</w:t>
            </w:r>
          </w:p>
          <w:p w14:paraId="4006ABFD" w14:textId="77777777" w:rsidR="00D876A8" w:rsidRPr="0061495A" w:rsidRDefault="00D876A8" w:rsidP="003531F3">
            <w:pPr>
              <w:bidi/>
              <w:jc w:val="center"/>
              <w:rPr>
                <w:rFonts w:cs="Arial"/>
              </w:rPr>
            </w:pPr>
          </w:p>
        </w:tc>
        <w:tc>
          <w:tcPr>
            <w:tcW w:w="3604" w:type="dxa"/>
          </w:tcPr>
          <w:p w14:paraId="5B00E85E" w14:textId="77777777" w:rsidR="00D876A8" w:rsidRDefault="00D876A8" w:rsidP="003531F3">
            <w:pPr>
              <w:autoSpaceDE w:val="0"/>
              <w:autoSpaceDN w:val="0"/>
              <w:bidi/>
              <w:adjustRightInd w:val="0"/>
              <w:snapToGrid w:val="0"/>
              <w:jc w:val="center"/>
              <w:rPr>
                <w:rFonts w:cs="Arial"/>
                <w:color w:val="000000"/>
                <w:lang w:val="x-none"/>
              </w:rPr>
            </w:pPr>
          </w:p>
          <w:p w14:paraId="4CDF47B9"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دمج التقييمات واسعة النطاق للتصميم الهندسي، وإنتاجية الموقع، ومعدل رواتب العمال، والتصعيد، والرسوم، وغيرها من العوامل التي تؤثر في تكلفة الوظائف. تعتمد معظم تكاليف الوحدة على البيانات والمعلومات السابقة (والتي يمكن تعديلها باستخدام المؤشرات)، ولكن هناك مجالات تتوفر فيها عروض الأسعار غير الرسمية أو من خلال الميزانيات (مثل عروض الميزانية للحزم المجمّعة مثل أنظمة التحكم المتكاملة، وغيرها).</w:t>
            </w:r>
          </w:p>
          <w:p w14:paraId="2CCF5B6D" w14:textId="77777777" w:rsidR="00D876A8" w:rsidRPr="0061495A" w:rsidRDefault="00D876A8" w:rsidP="003531F3">
            <w:pPr>
              <w:bidi/>
              <w:jc w:val="center"/>
              <w:rPr>
                <w:rFonts w:cs="Arial"/>
              </w:rPr>
            </w:pPr>
          </w:p>
        </w:tc>
        <w:tc>
          <w:tcPr>
            <w:tcW w:w="3604" w:type="dxa"/>
          </w:tcPr>
          <w:p w14:paraId="29F3288F" w14:textId="77777777" w:rsidR="00D876A8" w:rsidRDefault="00D876A8" w:rsidP="003531F3">
            <w:pPr>
              <w:autoSpaceDE w:val="0"/>
              <w:autoSpaceDN w:val="0"/>
              <w:bidi/>
              <w:adjustRightInd w:val="0"/>
              <w:snapToGrid w:val="0"/>
              <w:jc w:val="center"/>
              <w:rPr>
                <w:rFonts w:cs="Arial"/>
                <w:color w:val="000000"/>
                <w:lang w:val="x-none"/>
              </w:rPr>
            </w:pPr>
          </w:p>
          <w:p w14:paraId="7067C61F"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دمج التقييمات المفصّلة للتصميم الهندسي، وإنتاجية الموقع، ومعدل رواتب العمال، والتصعيد، والرسوم، وغيرها من العوامل التي تؤثر في تكلفة الوظائف. ساعات التركيب بناءً على تقييم الأداء حسب المهنة، ومستويات المهارات، وتقديرات استخدام معدات التشييد. تعتمد غالبية تكاليف القطع الرئيسية أو وحدات السلع على عروض غير رسمية أو مأخوذة من الميزانية (سعر السوق أو السعر الحالي)، ولكن قد تكون هناك مجالات تتوفر فيها عروض أسعار رسمية (تتوفر عادةً للمعدات الرئيسية ومعظم الحزم المجمّعة).</w:t>
            </w:r>
          </w:p>
          <w:p w14:paraId="58287ABD" w14:textId="77777777" w:rsidR="00D876A8" w:rsidRPr="0061495A" w:rsidRDefault="00D876A8" w:rsidP="003531F3">
            <w:pPr>
              <w:bidi/>
              <w:jc w:val="center"/>
              <w:rPr>
                <w:rFonts w:cs="Arial"/>
              </w:rPr>
            </w:pPr>
          </w:p>
        </w:tc>
        <w:tc>
          <w:tcPr>
            <w:tcW w:w="3604" w:type="dxa"/>
          </w:tcPr>
          <w:p w14:paraId="23F978A8" w14:textId="77777777" w:rsidR="00D876A8" w:rsidRDefault="00D876A8" w:rsidP="003531F3">
            <w:pPr>
              <w:autoSpaceDE w:val="0"/>
              <w:autoSpaceDN w:val="0"/>
              <w:bidi/>
              <w:adjustRightInd w:val="0"/>
              <w:snapToGrid w:val="0"/>
              <w:jc w:val="center"/>
              <w:rPr>
                <w:rFonts w:cs="Arial"/>
                <w:color w:val="000000"/>
                <w:lang w:val="x-none"/>
              </w:rPr>
            </w:pPr>
          </w:p>
          <w:p w14:paraId="34969043"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على غرار الفئة "2"، باستثناء أن غالبية المعدات أو القطع الرئيسية وتكاليف وحدات السلع تعتمد على عروض أسعار رسمية أو مأخوذة من الميزانية. كما يجوز تنفيذ أوامر الشراء الملزمة أو المكافئة للمعدات والمواد المجمّعة والتعاقدات من الباطن، والحزم المُتخصّصة. معدلات أجور العمال معروفة، وشروط إسناد المشروع معتمدة.</w:t>
            </w:r>
          </w:p>
          <w:p w14:paraId="0F291BE8" w14:textId="77777777" w:rsidR="00D876A8" w:rsidRPr="0061495A" w:rsidRDefault="00D876A8" w:rsidP="003531F3">
            <w:pPr>
              <w:bidi/>
              <w:jc w:val="center"/>
              <w:rPr>
                <w:rFonts w:cs="Arial"/>
              </w:rPr>
            </w:pPr>
          </w:p>
        </w:tc>
      </w:tr>
      <w:tr w:rsidR="00D876A8" w:rsidRPr="0061495A" w14:paraId="73FDAB8C" w14:textId="77777777" w:rsidTr="00170628">
        <w:tc>
          <w:tcPr>
            <w:tcW w:w="3604" w:type="dxa"/>
            <w:shd w:val="clear" w:color="auto" w:fill="D2DCE4"/>
          </w:tcPr>
          <w:p w14:paraId="6BE8766A" w14:textId="77777777" w:rsidR="00D876A8" w:rsidRPr="00170628" w:rsidRDefault="00D876A8" w:rsidP="003531F3">
            <w:pPr>
              <w:bidi/>
              <w:rPr>
                <w:rFonts w:cs="Arial"/>
                <w:b/>
                <w:color w:val="000000"/>
                <w:sz w:val="24"/>
                <w:szCs w:val="24"/>
                <w:lang w:val="x-none"/>
              </w:rPr>
            </w:pPr>
          </w:p>
          <w:p w14:paraId="5013AECD" w14:textId="77777777" w:rsidR="00D876A8" w:rsidRPr="00170628" w:rsidRDefault="00D876A8" w:rsidP="003531F3">
            <w:pPr>
              <w:bidi/>
              <w:rPr>
                <w:rFonts w:cs="Arial"/>
                <w:b/>
                <w:color w:val="000000"/>
                <w:sz w:val="24"/>
                <w:szCs w:val="24"/>
                <w:lang w:val="x-none"/>
              </w:rPr>
            </w:pPr>
            <w:r w:rsidRPr="00170628">
              <w:rPr>
                <w:rFonts w:cs="Arial"/>
                <w:b/>
                <w:bCs/>
                <w:color w:val="000000"/>
                <w:sz w:val="24"/>
                <w:szCs w:val="24"/>
                <w:rtl/>
                <w:lang w:eastAsia="ar"/>
              </w:rPr>
              <w:t>مستوى الاحتياطيات النموذجي</w:t>
            </w:r>
          </w:p>
          <w:p w14:paraId="1E25D6B3" w14:textId="77777777" w:rsidR="00D876A8" w:rsidRPr="00170628" w:rsidRDefault="00D876A8" w:rsidP="003531F3">
            <w:pPr>
              <w:bidi/>
              <w:rPr>
                <w:rFonts w:cs="Arial"/>
                <w:b/>
                <w:sz w:val="24"/>
                <w:szCs w:val="24"/>
              </w:rPr>
            </w:pPr>
          </w:p>
        </w:tc>
        <w:tc>
          <w:tcPr>
            <w:tcW w:w="3604" w:type="dxa"/>
          </w:tcPr>
          <w:p w14:paraId="2CAA5DE8" w14:textId="77777777" w:rsidR="00D876A8" w:rsidRDefault="00D876A8" w:rsidP="003531F3">
            <w:pPr>
              <w:bidi/>
              <w:jc w:val="center"/>
              <w:rPr>
                <w:rFonts w:cs="Arial"/>
              </w:rPr>
            </w:pPr>
          </w:p>
          <w:p w14:paraId="1EE14EB2" w14:textId="77777777" w:rsidR="00D876A8" w:rsidRPr="0061495A" w:rsidRDefault="00D876A8" w:rsidP="003531F3">
            <w:pPr>
              <w:bidi/>
              <w:jc w:val="center"/>
              <w:rPr>
                <w:rFonts w:cs="Arial"/>
              </w:rPr>
            </w:pPr>
            <w:r w:rsidRPr="0061495A">
              <w:rPr>
                <w:rFonts w:cs="Arial"/>
                <w:rtl/>
                <w:lang w:eastAsia="ar"/>
              </w:rPr>
              <w:t>أكبر من 30%</w:t>
            </w:r>
          </w:p>
        </w:tc>
        <w:tc>
          <w:tcPr>
            <w:tcW w:w="3604" w:type="dxa"/>
          </w:tcPr>
          <w:p w14:paraId="4494CC18" w14:textId="77777777" w:rsidR="00D876A8" w:rsidRDefault="00D876A8" w:rsidP="003531F3">
            <w:pPr>
              <w:bidi/>
              <w:jc w:val="center"/>
              <w:rPr>
                <w:rFonts w:cs="Arial"/>
              </w:rPr>
            </w:pPr>
          </w:p>
          <w:p w14:paraId="1B668EDC" w14:textId="77777777" w:rsidR="00D876A8" w:rsidRPr="0061495A" w:rsidRDefault="00D876A8" w:rsidP="003531F3">
            <w:pPr>
              <w:bidi/>
              <w:jc w:val="center"/>
              <w:rPr>
                <w:rFonts w:cs="Arial"/>
              </w:rPr>
            </w:pPr>
            <w:r w:rsidRPr="0061495A">
              <w:rPr>
                <w:rFonts w:cs="Arial"/>
                <w:rtl/>
                <w:lang w:eastAsia="ar"/>
              </w:rPr>
              <w:t>أكبر من 25%</w:t>
            </w:r>
          </w:p>
        </w:tc>
        <w:tc>
          <w:tcPr>
            <w:tcW w:w="3604" w:type="dxa"/>
          </w:tcPr>
          <w:p w14:paraId="4883551B" w14:textId="77777777" w:rsidR="00D876A8" w:rsidRDefault="00D876A8" w:rsidP="003531F3">
            <w:pPr>
              <w:bidi/>
              <w:jc w:val="center"/>
              <w:rPr>
                <w:rFonts w:cs="Arial"/>
                <w:color w:val="000000"/>
                <w:lang w:val="x-none"/>
              </w:rPr>
            </w:pPr>
          </w:p>
          <w:p w14:paraId="7164B5B6" w14:textId="77777777" w:rsidR="00D876A8" w:rsidRPr="0061495A" w:rsidRDefault="00D876A8" w:rsidP="003531F3">
            <w:pPr>
              <w:bidi/>
              <w:jc w:val="center"/>
              <w:rPr>
                <w:rFonts w:cs="Arial"/>
              </w:rPr>
            </w:pPr>
            <w:r w:rsidRPr="0061495A">
              <w:rPr>
                <w:rFonts w:cs="Arial"/>
                <w:color w:val="000000"/>
                <w:rtl/>
                <w:lang w:eastAsia="ar"/>
              </w:rPr>
              <w:t>من 15% إلى 25%</w:t>
            </w:r>
          </w:p>
        </w:tc>
        <w:tc>
          <w:tcPr>
            <w:tcW w:w="3604" w:type="dxa"/>
          </w:tcPr>
          <w:p w14:paraId="3F9BFD34" w14:textId="77777777" w:rsidR="00D876A8" w:rsidRDefault="00D876A8" w:rsidP="003531F3">
            <w:pPr>
              <w:bidi/>
              <w:jc w:val="center"/>
              <w:rPr>
                <w:rFonts w:cs="Arial"/>
                <w:color w:val="000000"/>
                <w:lang w:val="x-none"/>
              </w:rPr>
            </w:pPr>
          </w:p>
          <w:p w14:paraId="5E4D97EB" w14:textId="77777777" w:rsidR="00D876A8" w:rsidRPr="0061495A" w:rsidRDefault="00D876A8" w:rsidP="003531F3">
            <w:pPr>
              <w:bidi/>
              <w:jc w:val="center"/>
              <w:rPr>
                <w:rFonts w:cs="Arial"/>
              </w:rPr>
            </w:pPr>
            <w:r w:rsidRPr="0061495A">
              <w:rPr>
                <w:rFonts w:cs="Arial"/>
                <w:color w:val="000000"/>
                <w:rtl/>
                <w:lang w:eastAsia="ar"/>
              </w:rPr>
              <w:t>من 5% إلى 15%</w:t>
            </w:r>
          </w:p>
        </w:tc>
        <w:tc>
          <w:tcPr>
            <w:tcW w:w="3604" w:type="dxa"/>
          </w:tcPr>
          <w:p w14:paraId="61C9FF04" w14:textId="77777777" w:rsidR="00D876A8" w:rsidRDefault="00D876A8" w:rsidP="003531F3">
            <w:pPr>
              <w:autoSpaceDE w:val="0"/>
              <w:autoSpaceDN w:val="0"/>
              <w:bidi/>
              <w:adjustRightInd w:val="0"/>
              <w:snapToGrid w:val="0"/>
              <w:jc w:val="center"/>
              <w:rPr>
                <w:rFonts w:cs="Arial"/>
                <w:color w:val="000000"/>
                <w:lang w:val="x-none"/>
              </w:rPr>
            </w:pPr>
          </w:p>
          <w:p w14:paraId="1D4924D5" w14:textId="77777777" w:rsidR="00D876A8" w:rsidRPr="0061495A" w:rsidRDefault="00D876A8" w:rsidP="003531F3">
            <w:pPr>
              <w:autoSpaceDE w:val="0"/>
              <w:autoSpaceDN w:val="0"/>
              <w:bidi/>
              <w:adjustRightInd w:val="0"/>
              <w:snapToGrid w:val="0"/>
              <w:jc w:val="center"/>
              <w:rPr>
                <w:rFonts w:cs="Arial"/>
                <w:color w:val="000000"/>
                <w:lang w:val="x-none"/>
              </w:rPr>
            </w:pPr>
            <w:r w:rsidRPr="0061495A">
              <w:rPr>
                <w:rFonts w:cs="Arial"/>
                <w:color w:val="000000"/>
                <w:rtl/>
                <w:lang w:eastAsia="ar"/>
              </w:rPr>
              <w:t>من 5% إلى 10%</w:t>
            </w:r>
          </w:p>
          <w:p w14:paraId="1A16B3D5" w14:textId="77777777" w:rsidR="00D876A8" w:rsidRPr="0061495A" w:rsidRDefault="00D876A8" w:rsidP="003531F3">
            <w:pPr>
              <w:bidi/>
              <w:jc w:val="center"/>
              <w:rPr>
                <w:rFonts w:cs="Arial"/>
              </w:rPr>
            </w:pPr>
          </w:p>
        </w:tc>
      </w:tr>
    </w:tbl>
    <w:p w14:paraId="7DD1402F" w14:textId="1419F990" w:rsidR="005C593D" w:rsidRDefault="005C593D" w:rsidP="00972FC8">
      <w:pPr>
        <w:bidi/>
      </w:pPr>
    </w:p>
    <w:sectPr w:rsidR="005C593D" w:rsidSect="00745F41">
      <w:headerReference w:type="default" r:id="rId11"/>
      <w:footerReference w:type="default" r:id="rId12"/>
      <w:pgSz w:w="23818" w:h="16834" w:orient="landscape" w:code="8"/>
      <w:pgMar w:top="1411" w:right="1094" w:bottom="1138" w:left="1080"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AD5F" w14:textId="77777777" w:rsidR="006101BB" w:rsidRDefault="006101BB">
      <w:r>
        <w:separator/>
      </w:r>
    </w:p>
    <w:p w14:paraId="6FABE5D5" w14:textId="77777777" w:rsidR="006101BB" w:rsidRDefault="006101BB"/>
  </w:endnote>
  <w:endnote w:type="continuationSeparator" w:id="0">
    <w:p w14:paraId="14C06480" w14:textId="77777777" w:rsidR="006101BB" w:rsidRDefault="006101BB">
      <w:r>
        <w:continuationSeparator/>
      </w:r>
    </w:p>
    <w:p w14:paraId="33DC4E7A" w14:textId="77777777" w:rsidR="006101BB" w:rsidRDefault="00610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2ADA" w14:textId="218688DA" w:rsidR="00170628" w:rsidRPr="006C1ABD" w:rsidRDefault="00170628" w:rsidP="0017062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408" behindDoc="0" locked="0" layoutInCell="1" allowOverlap="1" wp14:anchorId="3F221833" wp14:editId="1A073C97">
              <wp:simplePos x="0" y="0"/>
              <wp:positionH relativeFrom="margin">
                <wp:align>left</wp:align>
              </wp:positionH>
              <wp:positionV relativeFrom="paragraph">
                <wp:posOffset>172085</wp:posOffset>
              </wp:positionV>
              <wp:extent cx="6210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5BB869" id="Straight Connector 7"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4SaNZc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921632601"/>
        <w:placeholder>
          <w:docPart w:val="E2A5698E3FE84C96B0FC42F56941E7A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EPM-S00-RG-000002-AR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058594796"/>
        <w:placeholder>
          <w:docPart w:val="B1E3F75657054049A623803113734EE9"/>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163081412"/>
        <w:placeholder>
          <w:docPart w:val="75409D8B732E4600996DC5B8EEADCE3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6E8F137" w14:textId="77777777" w:rsidR="00170628" w:rsidRPr="006C1ABD" w:rsidRDefault="00170628" w:rsidP="00170628">
    <w:pPr>
      <w:framePr w:wrap="none" w:vAnchor="text" w:hAnchor="page" w:x="22828" w:y="209"/>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E922C9D" w14:textId="1F99B392" w:rsidR="00726A53" w:rsidRPr="00170628" w:rsidRDefault="00170628" w:rsidP="00170628">
    <w:pPr>
      <w:pStyle w:val="Footer"/>
      <w:ind w:right="11474"/>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9F51" w14:textId="77777777" w:rsidR="006101BB" w:rsidRDefault="006101BB">
      <w:r>
        <w:separator/>
      </w:r>
    </w:p>
    <w:p w14:paraId="2891A8E4" w14:textId="77777777" w:rsidR="006101BB" w:rsidRDefault="006101BB"/>
  </w:footnote>
  <w:footnote w:type="continuationSeparator" w:id="0">
    <w:p w14:paraId="2F93C4B4" w14:textId="77777777" w:rsidR="006101BB" w:rsidRDefault="006101BB">
      <w:r>
        <w:continuationSeparator/>
      </w:r>
    </w:p>
    <w:p w14:paraId="52EDE8F5" w14:textId="77777777" w:rsidR="006101BB" w:rsidRDefault="00610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4818" w14:textId="77777777" w:rsidR="00170628" w:rsidRPr="00170628" w:rsidRDefault="00170628" w:rsidP="00170628">
    <w:pPr>
      <w:pStyle w:val="AttachmentHeading"/>
      <w:bidi/>
      <w:ind w:left="0"/>
      <w:rPr>
        <w:rFonts w:asciiTheme="majorBidi" w:hAnsiTheme="majorBidi" w:cstheme="majorBidi"/>
        <w:sz w:val="30"/>
        <w:szCs w:val="28"/>
      </w:rPr>
    </w:pPr>
    <w:r w:rsidRPr="00170628">
      <w:rPr>
        <w:rFonts w:asciiTheme="majorBidi" w:hAnsiTheme="majorBidi" w:cstheme="majorBidi"/>
        <w:sz w:val="30"/>
        <w:szCs w:val="28"/>
        <w:rtl/>
        <w:lang w:eastAsia="ar"/>
      </w:rPr>
      <w:t>مصفوفة تصنيف تقديرات المشروع</w:t>
    </w:r>
  </w:p>
  <w:p w14:paraId="576D8669" w14:textId="32268C4B" w:rsidR="00A14847" w:rsidRPr="003853C9" w:rsidRDefault="006C37A5" w:rsidP="00A14847">
    <w:pPr>
      <w:pStyle w:val="Header"/>
      <w:bidi/>
      <w:ind w:right="1435"/>
      <w:jc w:val="center"/>
      <w:rPr>
        <w:b/>
        <w:sz w:val="24"/>
        <w:szCs w:val="24"/>
      </w:rPr>
    </w:pPr>
    <w:r w:rsidRPr="009A054C">
      <w:rPr>
        <w:b/>
        <w:noProof/>
        <w:sz w:val="24"/>
        <w:szCs w:val="24"/>
      </w:rPr>
      <w:drawing>
        <wp:anchor distT="0" distB="0" distL="114300" distR="114300" simplePos="0" relativeHeight="251663360" behindDoc="0" locked="0" layoutInCell="1" allowOverlap="1" wp14:anchorId="0BE0ECCB" wp14:editId="71D0CABB">
          <wp:simplePos x="0" y="0"/>
          <wp:positionH relativeFrom="margin">
            <wp:posOffset>-190500</wp:posOffset>
          </wp:positionH>
          <wp:positionV relativeFrom="margin">
            <wp:posOffset>-666115</wp:posOffset>
          </wp:positionV>
          <wp:extent cx="1384934" cy="606050"/>
          <wp:effectExtent l="0" t="0" r="0"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934" cy="606050"/>
                  </a:xfrm>
                  <a:prstGeom prst="rect">
                    <a:avLst/>
                  </a:prstGeom>
                </pic:spPr>
              </pic:pic>
            </a:graphicData>
          </a:graphic>
          <wp14:sizeRelH relativeFrom="margin">
            <wp14:pctWidth>0</wp14:pctWidth>
          </wp14:sizeRelH>
          <wp14:sizeRelV relativeFrom="margin">
            <wp14:pctHeight>0</wp14:pctHeight>
          </wp14:sizeRelV>
        </wp:anchor>
      </w:drawing>
    </w:r>
  </w:p>
  <w:p w14:paraId="1FCA4915" w14:textId="77777777" w:rsidR="00A14847" w:rsidRDefault="00A14847" w:rsidP="00A14847">
    <w:pPr>
      <w:pStyle w:val="Header"/>
      <w:bidi/>
    </w:pPr>
  </w:p>
  <w:p w14:paraId="2E62636D" w14:textId="77777777" w:rsidR="00A14847" w:rsidRDefault="00A14847" w:rsidP="00A14847">
    <w:pPr>
      <w:tabs>
        <w:tab w:val="left" w:pos="2235"/>
      </w:tabs>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pStyle w:val="Number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67D21"/>
    <w:multiLevelType w:val="hybridMultilevel"/>
    <w:tmpl w:val="D102B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38A581D"/>
    <w:multiLevelType w:val="hybridMultilevel"/>
    <w:tmpl w:val="30767E22"/>
    <w:lvl w:ilvl="0" w:tplc="6CCC53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54A0F"/>
    <w:multiLevelType w:val="hybridMultilevel"/>
    <w:tmpl w:val="CD166EF6"/>
    <w:lvl w:ilvl="0" w:tplc="5906C4A4">
      <w:start w:val="1"/>
      <w:numFmt w:val="decimal"/>
      <w:lvlText w:val="%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EA270E"/>
    <w:multiLevelType w:val="hybridMultilevel"/>
    <w:tmpl w:val="CF86E12E"/>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9"/>
  </w:num>
  <w:num w:numId="7">
    <w:abstractNumId w:val="8"/>
  </w:num>
  <w:num w:numId="8">
    <w:abstractNumId w:val="1"/>
  </w:num>
  <w:num w:numId="9">
    <w:abstractNumId w:val="7"/>
  </w:num>
  <w:num w:numId="10">
    <w:abstractNumId w:val="11"/>
  </w:num>
  <w:num w:numId="11">
    <w:abstractNumId w:val="10"/>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AAC"/>
    <w:rsid w:val="0000052E"/>
    <w:rsid w:val="00000DB7"/>
    <w:rsid w:val="00001369"/>
    <w:rsid w:val="00001634"/>
    <w:rsid w:val="0000286C"/>
    <w:rsid w:val="0000319C"/>
    <w:rsid w:val="00003B10"/>
    <w:rsid w:val="00006011"/>
    <w:rsid w:val="00007BAF"/>
    <w:rsid w:val="00007BF5"/>
    <w:rsid w:val="0001058E"/>
    <w:rsid w:val="00011F52"/>
    <w:rsid w:val="0001397A"/>
    <w:rsid w:val="000159FF"/>
    <w:rsid w:val="00015CC2"/>
    <w:rsid w:val="00015DF0"/>
    <w:rsid w:val="00017539"/>
    <w:rsid w:val="00017D6D"/>
    <w:rsid w:val="00020007"/>
    <w:rsid w:val="00020569"/>
    <w:rsid w:val="0002056D"/>
    <w:rsid w:val="00020AE6"/>
    <w:rsid w:val="0002198F"/>
    <w:rsid w:val="00022EF2"/>
    <w:rsid w:val="0002341A"/>
    <w:rsid w:val="00024235"/>
    <w:rsid w:val="0002499E"/>
    <w:rsid w:val="00026479"/>
    <w:rsid w:val="00026742"/>
    <w:rsid w:val="000277A5"/>
    <w:rsid w:val="0003084E"/>
    <w:rsid w:val="00030D04"/>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0BFA"/>
    <w:rsid w:val="00052750"/>
    <w:rsid w:val="000545A9"/>
    <w:rsid w:val="00054930"/>
    <w:rsid w:val="00054EB8"/>
    <w:rsid w:val="00055EB9"/>
    <w:rsid w:val="0005632D"/>
    <w:rsid w:val="000572E2"/>
    <w:rsid w:val="0005799D"/>
    <w:rsid w:val="00060CF1"/>
    <w:rsid w:val="00060F83"/>
    <w:rsid w:val="00063D8B"/>
    <w:rsid w:val="000655A3"/>
    <w:rsid w:val="00065726"/>
    <w:rsid w:val="00065FE4"/>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A5A"/>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42A1"/>
    <w:rsid w:val="000D58EF"/>
    <w:rsid w:val="000D65BA"/>
    <w:rsid w:val="000D6D0A"/>
    <w:rsid w:val="000E3163"/>
    <w:rsid w:val="000E3E4E"/>
    <w:rsid w:val="000E6468"/>
    <w:rsid w:val="000E7BCD"/>
    <w:rsid w:val="000F0A74"/>
    <w:rsid w:val="000F1028"/>
    <w:rsid w:val="000F2C8C"/>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531"/>
    <w:rsid w:val="00112F25"/>
    <w:rsid w:val="00113020"/>
    <w:rsid w:val="00114874"/>
    <w:rsid w:val="00115DDA"/>
    <w:rsid w:val="0011743F"/>
    <w:rsid w:val="00121FFB"/>
    <w:rsid w:val="001240BE"/>
    <w:rsid w:val="001269A0"/>
    <w:rsid w:val="0013027D"/>
    <w:rsid w:val="00131B29"/>
    <w:rsid w:val="00131BAA"/>
    <w:rsid w:val="00131D8A"/>
    <w:rsid w:val="00132F66"/>
    <w:rsid w:val="00133DA4"/>
    <w:rsid w:val="00137ABE"/>
    <w:rsid w:val="00142314"/>
    <w:rsid w:val="001428BA"/>
    <w:rsid w:val="00142AE7"/>
    <w:rsid w:val="00143272"/>
    <w:rsid w:val="00143E4D"/>
    <w:rsid w:val="00144396"/>
    <w:rsid w:val="00144496"/>
    <w:rsid w:val="001445B4"/>
    <w:rsid w:val="00146719"/>
    <w:rsid w:val="00146FDD"/>
    <w:rsid w:val="00147ED9"/>
    <w:rsid w:val="00150609"/>
    <w:rsid w:val="00152299"/>
    <w:rsid w:val="00156134"/>
    <w:rsid w:val="00157D24"/>
    <w:rsid w:val="0016015B"/>
    <w:rsid w:val="001657C6"/>
    <w:rsid w:val="00167CA1"/>
    <w:rsid w:val="00170157"/>
    <w:rsid w:val="001702B6"/>
    <w:rsid w:val="00170628"/>
    <w:rsid w:val="00170E89"/>
    <w:rsid w:val="00174132"/>
    <w:rsid w:val="00174D23"/>
    <w:rsid w:val="001776F2"/>
    <w:rsid w:val="00177C49"/>
    <w:rsid w:val="00180543"/>
    <w:rsid w:val="00182402"/>
    <w:rsid w:val="00182A07"/>
    <w:rsid w:val="0018317E"/>
    <w:rsid w:val="00183A02"/>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2EF"/>
    <w:rsid w:val="001B3F14"/>
    <w:rsid w:val="001B5A44"/>
    <w:rsid w:val="001B62F5"/>
    <w:rsid w:val="001B6493"/>
    <w:rsid w:val="001B6927"/>
    <w:rsid w:val="001B78AE"/>
    <w:rsid w:val="001C0267"/>
    <w:rsid w:val="001C0398"/>
    <w:rsid w:val="001C07C2"/>
    <w:rsid w:val="001C1070"/>
    <w:rsid w:val="001C1DA3"/>
    <w:rsid w:val="001C1F89"/>
    <w:rsid w:val="001C3A38"/>
    <w:rsid w:val="001C3FED"/>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49C7"/>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1AEA"/>
    <w:rsid w:val="00211FEE"/>
    <w:rsid w:val="002129D5"/>
    <w:rsid w:val="00212A87"/>
    <w:rsid w:val="0021314D"/>
    <w:rsid w:val="00213678"/>
    <w:rsid w:val="00216084"/>
    <w:rsid w:val="0021775F"/>
    <w:rsid w:val="00220848"/>
    <w:rsid w:val="002235C2"/>
    <w:rsid w:val="00223BDE"/>
    <w:rsid w:val="00225124"/>
    <w:rsid w:val="00226FC5"/>
    <w:rsid w:val="00231728"/>
    <w:rsid w:val="00231F56"/>
    <w:rsid w:val="00234AD1"/>
    <w:rsid w:val="00234BE1"/>
    <w:rsid w:val="00234CA8"/>
    <w:rsid w:val="00235016"/>
    <w:rsid w:val="00237337"/>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67598"/>
    <w:rsid w:val="00272789"/>
    <w:rsid w:val="002732AA"/>
    <w:rsid w:val="002749D3"/>
    <w:rsid w:val="00275C13"/>
    <w:rsid w:val="00280BA9"/>
    <w:rsid w:val="002813FD"/>
    <w:rsid w:val="00281EE3"/>
    <w:rsid w:val="00282949"/>
    <w:rsid w:val="00282A4B"/>
    <w:rsid w:val="002835DB"/>
    <w:rsid w:val="0028408F"/>
    <w:rsid w:val="00285F60"/>
    <w:rsid w:val="00286AA7"/>
    <w:rsid w:val="00286B82"/>
    <w:rsid w:val="002870E3"/>
    <w:rsid w:val="00290190"/>
    <w:rsid w:val="00290329"/>
    <w:rsid w:val="002906AC"/>
    <w:rsid w:val="002906C7"/>
    <w:rsid w:val="00290F50"/>
    <w:rsid w:val="00291527"/>
    <w:rsid w:val="00291FFD"/>
    <w:rsid w:val="00292F90"/>
    <w:rsid w:val="00293FAC"/>
    <w:rsid w:val="0029427B"/>
    <w:rsid w:val="002948F5"/>
    <w:rsid w:val="002A0197"/>
    <w:rsid w:val="002A1CBF"/>
    <w:rsid w:val="002A28F3"/>
    <w:rsid w:val="002A295F"/>
    <w:rsid w:val="002A5C92"/>
    <w:rsid w:val="002A76FE"/>
    <w:rsid w:val="002B224C"/>
    <w:rsid w:val="002B2BF4"/>
    <w:rsid w:val="002B36FA"/>
    <w:rsid w:val="002B3DB8"/>
    <w:rsid w:val="002B507C"/>
    <w:rsid w:val="002B61CE"/>
    <w:rsid w:val="002B6649"/>
    <w:rsid w:val="002C0246"/>
    <w:rsid w:val="002C1270"/>
    <w:rsid w:val="002C145E"/>
    <w:rsid w:val="002C1E1D"/>
    <w:rsid w:val="002C2D93"/>
    <w:rsid w:val="002C31FA"/>
    <w:rsid w:val="002C5E13"/>
    <w:rsid w:val="002C6EBA"/>
    <w:rsid w:val="002C71B6"/>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490F"/>
    <w:rsid w:val="002E6175"/>
    <w:rsid w:val="002E7AC0"/>
    <w:rsid w:val="002F0F91"/>
    <w:rsid w:val="002F1340"/>
    <w:rsid w:val="002F19E2"/>
    <w:rsid w:val="002F251A"/>
    <w:rsid w:val="002F3D92"/>
    <w:rsid w:val="002F4D4E"/>
    <w:rsid w:val="002F5108"/>
    <w:rsid w:val="002F586F"/>
    <w:rsid w:val="002F5E71"/>
    <w:rsid w:val="002F6CC7"/>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1509"/>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799F"/>
    <w:rsid w:val="003614F1"/>
    <w:rsid w:val="003633B5"/>
    <w:rsid w:val="003637B4"/>
    <w:rsid w:val="0036385B"/>
    <w:rsid w:val="00363D7F"/>
    <w:rsid w:val="003654A4"/>
    <w:rsid w:val="00370AA5"/>
    <w:rsid w:val="00371BBD"/>
    <w:rsid w:val="00371BDC"/>
    <w:rsid w:val="00372FBA"/>
    <w:rsid w:val="003755DF"/>
    <w:rsid w:val="00375B6F"/>
    <w:rsid w:val="00376614"/>
    <w:rsid w:val="003809A8"/>
    <w:rsid w:val="003811DE"/>
    <w:rsid w:val="003815F5"/>
    <w:rsid w:val="003822A9"/>
    <w:rsid w:val="003822E8"/>
    <w:rsid w:val="00383AFF"/>
    <w:rsid w:val="00384D0C"/>
    <w:rsid w:val="0038536F"/>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44B"/>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E72DE"/>
    <w:rsid w:val="003F02E7"/>
    <w:rsid w:val="003F0A2C"/>
    <w:rsid w:val="003F1344"/>
    <w:rsid w:val="003F1D76"/>
    <w:rsid w:val="003F1F64"/>
    <w:rsid w:val="003F4519"/>
    <w:rsid w:val="003F493F"/>
    <w:rsid w:val="003F4F37"/>
    <w:rsid w:val="003F635A"/>
    <w:rsid w:val="003F6834"/>
    <w:rsid w:val="003F6D85"/>
    <w:rsid w:val="003F7C1A"/>
    <w:rsid w:val="003F7C5C"/>
    <w:rsid w:val="00400A5F"/>
    <w:rsid w:val="004029DD"/>
    <w:rsid w:val="00403102"/>
    <w:rsid w:val="00404B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0D4"/>
    <w:rsid w:val="004241D5"/>
    <w:rsid w:val="00424A07"/>
    <w:rsid w:val="004254AB"/>
    <w:rsid w:val="0042600C"/>
    <w:rsid w:val="00426722"/>
    <w:rsid w:val="004275AF"/>
    <w:rsid w:val="004303B7"/>
    <w:rsid w:val="004306AD"/>
    <w:rsid w:val="0043078B"/>
    <w:rsid w:val="00430C67"/>
    <w:rsid w:val="00430FB9"/>
    <w:rsid w:val="0043147D"/>
    <w:rsid w:val="0043417C"/>
    <w:rsid w:val="00436042"/>
    <w:rsid w:val="00436904"/>
    <w:rsid w:val="0043756A"/>
    <w:rsid w:val="00437A59"/>
    <w:rsid w:val="00440563"/>
    <w:rsid w:val="004414BB"/>
    <w:rsid w:val="00441AF1"/>
    <w:rsid w:val="004420E1"/>
    <w:rsid w:val="00442DDD"/>
    <w:rsid w:val="004443A0"/>
    <w:rsid w:val="00444C75"/>
    <w:rsid w:val="004450A4"/>
    <w:rsid w:val="00445E98"/>
    <w:rsid w:val="0044687A"/>
    <w:rsid w:val="00446AD7"/>
    <w:rsid w:val="004471AB"/>
    <w:rsid w:val="00451BAB"/>
    <w:rsid w:val="00452D05"/>
    <w:rsid w:val="0045346F"/>
    <w:rsid w:val="00457797"/>
    <w:rsid w:val="00457ADD"/>
    <w:rsid w:val="004606BC"/>
    <w:rsid w:val="00460E68"/>
    <w:rsid w:val="004621E7"/>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2CA4"/>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6F1"/>
    <w:rsid w:val="004B1905"/>
    <w:rsid w:val="004B2097"/>
    <w:rsid w:val="004B2BAE"/>
    <w:rsid w:val="004B2CA4"/>
    <w:rsid w:val="004B3128"/>
    <w:rsid w:val="004B34F6"/>
    <w:rsid w:val="004B361B"/>
    <w:rsid w:val="004B3D5B"/>
    <w:rsid w:val="004B7009"/>
    <w:rsid w:val="004B7F6F"/>
    <w:rsid w:val="004C007D"/>
    <w:rsid w:val="004C013A"/>
    <w:rsid w:val="004C401F"/>
    <w:rsid w:val="004C4D38"/>
    <w:rsid w:val="004C59F2"/>
    <w:rsid w:val="004C70AB"/>
    <w:rsid w:val="004D03AA"/>
    <w:rsid w:val="004D08A7"/>
    <w:rsid w:val="004D0EB5"/>
    <w:rsid w:val="004D1989"/>
    <w:rsid w:val="004D1D60"/>
    <w:rsid w:val="004D1F9A"/>
    <w:rsid w:val="004D28B8"/>
    <w:rsid w:val="004D3919"/>
    <w:rsid w:val="004D3929"/>
    <w:rsid w:val="004D392A"/>
    <w:rsid w:val="004D411F"/>
    <w:rsid w:val="004D5090"/>
    <w:rsid w:val="004D5828"/>
    <w:rsid w:val="004D5BC6"/>
    <w:rsid w:val="004D6BED"/>
    <w:rsid w:val="004E2148"/>
    <w:rsid w:val="004E2E95"/>
    <w:rsid w:val="004E31AB"/>
    <w:rsid w:val="004E4378"/>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29EA"/>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6D03"/>
    <w:rsid w:val="0059027C"/>
    <w:rsid w:val="00594107"/>
    <w:rsid w:val="005942DD"/>
    <w:rsid w:val="00594397"/>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0228"/>
    <w:rsid w:val="005C2D76"/>
    <w:rsid w:val="005C37F5"/>
    <w:rsid w:val="005C4077"/>
    <w:rsid w:val="005C4C1C"/>
    <w:rsid w:val="005C4F86"/>
    <w:rsid w:val="005C5022"/>
    <w:rsid w:val="005C593D"/>
    <w:rsid w:val="005C6452"/>
    <w:rsid w:val="005C6534"/>
    <w:rsid w:val="005C67CE"/>
    <w:rsid w:val="005C69A2"/>
    <w:rsid w:val="005C6CAC"/>
    <w:rsid w:val="005C700F"/>
    <w:rsid w:val="005D5008"/>
    <w:rsid w:val="005D53F9"/>
    <w:rsid w:val="005D68DD"/>
    <w:rsid w:val="005D72AB"/>
    <w:rsid w:val="005E018E"/>
    <w:rsid w:val="005E2257"/>
    <w:rsid w:val="005E268C"/>
    <w:rsid w:val="005E3ECE"/>
    <w:rsid w:val="005E41E4"/>
    <w:rsid w:val="005E5661"/>
    <w:rsid w:val="005E5AEB"/>
    <w:rsid w:val="005E5D65"/>
    <w:rsid w:val="005E612E"/>
    <w:rsid w:val="005E62F9"/>
    <w:rsid w:val="005E67F5"/>
    <w:rsid w:val="005E694B"/>
    <w:rsid w:val="005E7531"/>
    <w:rsid w:val="005E795A"/>
    <w:rsid w:val="005E7B35"/>
    <w:rsid w:val="005F147F"/>
    <w:rsid w:val="005F3743"/>
    <w:rsid w:val="005F3D03"/>
    <w:rsid w:val="005F5C08"/>
    <w:rsid w:val="005F6A91"/>
    <w:rsid w:val="006003A3"/>
    <w:rsid w:val="0060352F"/>
    <w:rsid w:val="00603B56"/>
    <w:rsid w:val="00603D41"/>
    <w:rsid w:val="006044A2"/>
    <w:rsid w:val="00604E51"/>
    <w:rsid w:val="00604EAB"/>
    <w:rsid w:val="00605710"/>
    <w:rsid w:val="00605720"/>
    <w:rsid w:val="0060623D"/>
    <w:rsid w:val="006073F1"/>
    <w:rsid w:val="006101BB"/>
    <w:rsid w:val="00610A20"/>
    <w:rsid w:val="00610B58"/>
    <w:rsid w:val="00611DCA"/>
    <w:rsid w:val="00611E34"/>
    <w:rsid w:val="00615725"/>
    <w:rsid w:val="006217D9"/>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1422"/>
    <w:rsid w:val="00651687"/>
    <w:rsid w:val="00651C18"/>
    <w:rsid w:val="0065243B"/>
    <w:rsid w:val="0065277E"/>
    <w:rsid w:val="00652C69"/>
    <w:rsid w:val="0065356D"/>
    <w:rsid w:val="0065389A"/>
    <w:rsid w:val="00654364"/>
    <w:rsid w:val="00654495"/>
    <w:rsid w:val="00656532"/>
    <w:rsid w:val="0066031F"/>
    <w:rsid w:val="0066114C"/>
    <w:rsid w:val="00661A1D"/>
    <w:rsid w:val="006643B8"/>
    <w:rsid w:val="00664B46"/>
    <w:rsid w:val="00664DBF"/>
    <w:rsid w:val="00667A9F"/>
    <w:rsid w:val="00667C33"/>
    <w:rsid w:val="006714F2"/>
    <w:rsid w:val="00671F76"/>
    <w:rsid w:val="00673090"/>
    <w:rsid w:val="006738E6"/>
    <w:rsid w:val="00673ACF"/>
    <w:rsid w:val="00675A50"/>
    <w:rsid w:val="00675C48"/>
    <w:rsid w:val="006775D0"/>
    <w:rsid w:val="00680207"/>
    <w:rsid w:val="00680A97"/>
    <w:rsid w:val="00680B5F"/>
    <w:rsid w:val="00681894"/>
    <w:rsid w:val="00683DC3"/>
    <w:rsid w:val="00684601"/>
    <w:rsid w:val="00684B12"/>
    <w:rsid w:val="00690B17"/>
    <w:rsid w:val="00690B1F"/>
    <w:rsid w:val="00692DCC"/>
    <w:rsid w:val="00693C58"/>
    <w:rsid w:val="006955E1"/>
    <w:rsid w:val="006965F3"/>
    <w:rsid w:val="00697462"/>
    <w:rsid w:val="006A2B12"/>
    <w:rsid w:val="006A3406"/>
    <w:rsid w:val="006A35B4"/>
    <w:rsid w:val="006A3E4E"/>
    <w:rsid w:val="006A3E6B"/>
    <w:rsid w:val="006A442D"/>
    <w:rsid w:val="006A5172"/>
    <w:rsid w:val="006A5936"/>
    <w:rsid w:val="006A6A09"/>
    <w:rsid w:val="006B113F"/>
    <w:rsid w:val="006B70AF"/>
    <w:rsid w:val="006C06FB"/>
    <w:rsid w:val="006C1246"/>
    <w:rsid w:val="006C170C"/>
    <w:rsid w:val="006C2DC4"/>
    <w:rsid w:val="006C322C"/>
    <w:rsid w:val="006C37A5"/>
    <w:rsid w:val="006C54E9"/>
    <w:rsid w:val="006C68A8"/>
    <w:rsid w:val="006C7E9B"/>
    <w:rsid w:val="006D26FE"/>
    <w:rsid w:val="006D2AA9"/>
    <w:rsid w:val="006D2B05"/>
    <w:rsid w:val="006D4FA4"/>
    <w:rsid w:val="006D5E16"/>
    <w:rsid w:val="006D718A"/>
    <w:rsid w:val="006E0946"/>
    <w:rsid w:val="006E2C79"/>
    <w:rsid w:val="006E3698"/>
    <w:rsid w:val="006E5321"/>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CE0"/>
    <w:rsid w:val="00725FDB"/>
    <w:rsid w:val="00726045"/>
    <w:rsid w:val="00726A53"/>
    <w:rsid w:val="007329D7"/>
    <w:rsid w:val="0073303D"/>
    <w:rsid w:val="007348CC"/>
    <w:rsid w:val="00735F70"/>
    <w:rsid w:val="00744550"/>
    <w:rsid w:val="00744AEE"/>
    <w:rsid w:val="00745F41"/>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7B2"/>
    <w:rsid w:val="00770E11"/>
    <w:rsid w:val="00771E0C"/>
    <w:rsid w:val="00772157"/>
    <w:rsid w:val="00772933"/>
    <w:rsid w:val="007741CA"/>
    <w:rsid w:val="007744D1"/>
    <w:rsid w:val="007772F3"/>
    <w:rsid w:val="00780258"/>
    <w:rsid w:val="00780A2B"/>
    <w:rsid w:val="00781ADC"/>
    <w:rsid w:val="00782509"/>
    <w:rsid w:val="00782BDC"/>
    <w:rsid w:val="00782BF8"/>
    <w:rsid w:val="00782D18"/>
    <w:rsid w:val="00782F3A"/>
    <w:rsid w:val="0078375E"/>
    <w:rsid w:val="00783D41"/>
    <w:rsid w:val="0078520E"/>
    <w:rsid w:val="007852E1"/>
    <w:rsid w:val="0078554F"/>
    <w:rsid w:val="00787066"/>
    <w:rsid w:val="007900CC"/>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49DF"/>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668"/>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3DC"/>
    <w:rsid w:val="007F660B"/>
    <w:rsid w:val="007F79AC"/>
    <w:rsid w:val="00801A82"/>
    <w:rsid w:val="008031DD"/>
    <w:rsid w:val="008034E8"/>
    <w:rsid w:val="00803572"/>
    <w:rsid w:val="00803C68"/>
    <w:rsid w:val="008041B3"/>
    <w:rsid w:val="008051D2"/>
    <w:rsid w:val="00805272"/>
    <w:rsid w:val="00810B38"/>
    <w:rsid w:val="0081185A"/>
    <w:rsid w:val="00811B9E"/>
    <w:rsid w:val="00811CF3"/>
    <w:rsid w:val="0081324F"/>
    <w:rsid w:val="008132F6"/>
    <w:rsid w:val="00813DD3"/>
    <w:rsid w:val="00814605"/>
    <w:rsid w:val="00814F58"/>
    <w:rsid w:val="008162CF"/>
    <w:rsid w:val="008169E7"/>
    <w:rsid w:val="00817C20"/>
    <w:rsid w:val="008208E8"/>
    <w:rsid w:val="008211E4"/>
    <w:rsid w:val="008217F7"/>
    <w:rsid w:val="00822060"/>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C0D"/>
    <w:rsid w:val="00836E72"/>
    <w:rsid w:val="008416C9"/>
    <w:rsid w:val="008416D9"/>
    <w:rsid w:val="00842438"/>
    <w:rsid w:val="008432EA"/>
    <w:rsid w:val="00843C84"/>
    <w:rsid w:val="008504CD"/>
    <w:rsid w:val="0085178D"/>
    <w:rsid w:val="0085295E"/>
    <w:rsid w:val="008544C0"/>
    <w:rsid w:val="008556C6"/>
    <w:rsid w:val="00855A1E"/>
    <w:rsid w:val="00856221"/>
    <w:rsid w:val="0085678C"/>
    <w:rsid w:val="0085681A"/>
    <w:rsid w:val="00861DFE"/>
    <w:rsid w:val="008622BF"/>
    <w:rsid w:val="00862DB4"/>
    <w:rsid w:val="0086428E"/>
    <w:rsid w:val="00864C07"/>
    <w:rsid w:val="00864D12"/>
    <w:rsid w:val="00864D1B"/>
    <w:rsid w:val="00864DE9"/>
    <w:rsid w:val="008702AD"/>
    <w:rsid w:val="008702BA"/>
    <w:rsid w:val="00870FD2"/>
    <w:rsid w:val="008712B0"/>
    <w:rsid w:val="0087138C"/>
    <w:rsid w:val="008765CB"/>
    <w:rsid w:val="0087779D"/>
    <w:rsid w:val="00883519"/>
    <w:rsid w:val="0088397F"/>
    <w:rsid w:val="008878EB"/>
    <w:rsid w:val="00887EA0"/>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5C0D"/>
    <w:rsid w:val="008B5E4E"/>
    <w:rsid w:val="008B61BE"/>
    <w:rsid w:val="008B64E3"/>
    <w:rsid w:val="008B6909"/>
    <w:rsid w:val="008C0AEC"/>
    <w:rsid w:val="008C1220"/>
    <w:rsid w:val="008C2D42"/>
    <w:rsid w:val="008C479A"/>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1B41"/>
    <w:rsid w:val="00904903"/>
    <w:rsid w:val="009054D0"/>
    <w:rsid w:val="0090566B"/>
    <w:rsid w:val="00906666"/>
    <w:rsid w:val="009068F0"/>
    <w:rsid w:val="00907908"/>
    <w:rsid w:val="00907B8E"/>
    <w:rsid w:val="00907EE4"/>
    <w:rsid w:val="009100D2"/>
    <w:rsid w:val="009115F9"/>
    <w:rsid w:val="0091456C"/>
    <w:rsid w:val="009147D9"/>
    <w:rsid w:val="00915FB1"/>
    <w:rsid w:val="0091622D"/>
    <w:rsid w:val="00916BAD"/>
    <w:rsid w:val="00920431"/>
    <w:rsid w:val="00920497"/>
    <w:rsid w:val="00920F7C"/>
    <w:rsid w:val="00921139"/>
    <w:rsid w:val="00921B24"/>
    <w:rsid w:val="00922B2D"/>
    <w:rsid w:val="00923865"/>
    <w:rsid w:val="00923A29"/>
    <w:rsid w:val="00924E92"/>
    <w:rsid w:val="0092607B"/>
    <w:rsid w:val="00926564"/>
    <w:rsid w:val="00926C53"/>
    <w:rsid w:val="00927CD9"/>
    <w:rsid w:val="00931A76"/>
    <w:rsid w:val="009333E0"/>
    <w:rsid w:val="00933F73"/>
    <w:rsid w:val="009344AB"/>
    <w:rsid w:val="00934705"/>
    <w:rsid w:val="00935EE5"/>
    <w:rsid w:val="00936CCD"/>
    <w:rsid w:val="0094039C"/>
    <w:rsid w:val="009439F5"/>
    <w:rsid w:val="00945FC3"/>
    <w:rsid w:val="009462DF"/>
    <w:rsid w:val="009469D6"/>
    <w:rsid w:val="0094759A"/>
    <w:rsid w:val="00950681"/>
    <w:rsid w:val="00950B50"/>
    <w:rsid w:val="00950CF3"/>
    <w:rsid w:val="0095415C"/>
    <w:rsid w:val="00954DF8"/>
    <w:rsid w:val="00955209"/>
    <w:rsid w:val="0095582A"/>
    <w:rsid w:val="00955B1B"/>
    <w:rsid w:val="00956326"/>
    <w:rsid w:val="009575A2"/>
    <w:rsid w:val="00960257"/>
    <w:rsid w:val="009640B3"/>
    <w:rsid w:val="00965531"/>
    <w:rsid w:val="00967B24"/>
    <w:rsid w:val="0097092A"/>
    <w:rsid w:val="00970BBA"/>
    <w:rsid w:val="00972FC8"/>
    <w:rsid w:val="00973A9D"/>
    <w:rsid w:val="00973D5F"/>
    <w:rsid w:val="00975A41"/>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C7C37"/>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4855"/>
    <w:rsid w:val="009E5744"/>
    <w:rsid w:val="009E5B02"/>
    <w:rsid w:val="009E5DA3"/>
    <w:rsid w:val="009E5E2C"/>
    <w:rsid w:val="009E631C"/>
    <w:rsid w:val="009E7595"/>
    <w:rsid w:val="009E7EF3"/>
    <w:rsid w:val="009F0232"/>
    <w:rsid w:val="009F11CD"/>
    <w:rsid w:val="009F2262"/>
    <w:rsid w:val="009F385A"/>
    <w:rsid w:val="009F42D0"/>
    <w:rsid w:val="009F4B8B"/>
    <w:rsid w:val="009F4EBD"/>
    <w:rsid w:val="009F6AEC"/>
    <w:rsid w:val="009F6E23"/>
    <w:rsid w:val="009F759E"/>
    <w:rsid w:val="009F7901"/>
    <w:rsid w:val="009F7ACA"/>
    <w:rsid w:val="00A0090C"/>
    <w:rsid w:val="00A0193A"/>
    <w:rsid w:val="00A01BA9"/>
    <w:rsid w:val="00A02EF7"/>
    <w:rsid w:val="00A0474B"/>
    <w:rsid w:val="00A051B8"/>
    <w:rsid w:val="00A05C88"/>
    <w:rsid w:val="00A06141"/>
    <w:rsid w:val="00A0651D"/>
    <w:rsid w:val="00A06566"/>
    <w:rsid w:val="00A065B0"/>
    <w:rsid w:val="00A0745E"/>
    <w:rsid w:val="00A100CA"/>
    <w:rsid w:val="00A10691"/>
    <w:rsid w:val="00A107FD"/>
    <w:rsid w:val="00A1087D"/>
    <w:rsid w:val="00A109E3"/>
    <w:rsid w:val="00A10A73"/>
    <w:rsid w:val="00A10A85"/>
    <w:rsid w:val="00A11EB0"/>
    <w:rsid w:val="00A1351F"/>
    <w:rsid w:val="00A13C3A"/>
    <w:rsid w:val="00A14847"/>
    <w:rsid w:val="00A15DA8"/>
    <w:rsid w:val="00A16542"/>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267"/>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58CF"/>
    <w:rsid w:val="00A66274"/>
    <w:rsid w:val="00A70118"/>
    <w:rsid w:val="00A717B9"/>
    <w:rsid w:val="00A72565"/>
    <w:rsid w:val="00A73F35"/>
    <w:rsid w:val="00A741AB"/>
    <w:rsid w:val="00A75E42"/>
    <w:rsid w:val="00A77EBC"/>
    <w:rsid w:val="00A81279"/>
    <w:rsid w:val="00A81C11"/>
    <w:rsid w:val="00A82CAD"/>
    <w:rsid w:val="00A845E8"/>
    <w:rsid w:val="00A846C1"/>
    <w:rsid w:val="00A847EA"/>
    <w:rsid w:val="00A8578A"/>
    <w:rsid w:val="00A8625A"/>
    <w:rsid w:val="00A876DB"/>
    <w:rsid w:val="00A90114"/>
    <w:rsid w:val="00A92374"/>
    <w:rsid w:val="00A9312A"/>
    <w:rsid w:val="00A93901"/>
    <w:rsid w:val="00A93C5F"/>
    <w:rsid w:val="00A949B0"/>
    <w:rsid w:val="00A9504B"/>
    <w:rsid w:val="00A961B4"/>
    <w:rsid w:val="00A96909"/>
    <w:rsid w:val="00A96D64"/>
    <w:rsid w:val="00A97337"/>
    <w:rsid w:val="00A97BFE"/>
    <w:rsid w:val="00AA17AD"/>
    <w:rsid w:val="00AA2558"/>
    <w:rsid w:val="00AA2E6A"/>
    <w:rsid w:val="00AA40D1"/>
    <w:rsid w:val="00AA579D"/>
    <w:rsid w:val="00AA611A"/>
    <w:rsid w:val="00AA6181"/>
    <w:rsid w:val="00AB0568"/>
    <w:rsid w:val="00AB084F"/>
    <w:rsid w:val="00AB0880"/>
    <w:rsid w:val="00AB0971"/>
    <w:rsid w:val="00AB0A87"/>
    <w:rsid w:val="00AB2604"/>
    <w:rsid w:val="00AB2713"/>
    <w:rsid w:val="00AB2B2D"/>
    <w:rsid w:val="00AB3727"/>
    <w:rsid w:val="00AB3DE7"/>
    <w:rsid w:val="00AB53A8"/>
    <w:rsid w:val="00AB70C1"/>
    <w:rsid w:val="00AB7128"/>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1C1E"/>
    <w:rsid w:val="00AD2338"/>
    <w:rsid w:val="00AD2373"/>
    <w:rsid w:val="00AD2A7B"/>
    <w:rsid w:val="00AD2F9F"/>
    <w:rsid w:val="00AD4901"/>
    <w:rsid w:val="00AD60EF"/>
    <w:rsid w:val="00AD6D3B"/>
    <w:rsid w:val="00AE1EA9"/>
    <w:rsid w:val="00AE2AE3"/>
    <w:rsid w:val="00AE2B6B"/>
    <w:rsid w:val="00AE3F56"/>
    <w:rsid w:val="00AE50A3"/>
    <w:rsid w:val="00AE64AA"/>
    <w:rsid w:val="00AE6D1B"/>
    <w:rsid w:val="00AE754D"/>
    <w:rsid w:val="00AE7958"/>
    <w:rsid w:val="00AF0FF7"/>
    <w:rsid w:val="00AF1274"/>
    <w:rsid w:val="00AF1333"/>
    <w:rsid w:val="00AF14DE"/>
    <w:rsid w:val="00AF2843"/>
    <w:rsid w:val="00AF53D8"/>
    <w:rsid w:val="00AF714C"/>
    <w:rsid w:val="00B00850"/>
    <w:rsid w:val="00B0266B"/>
    <w:rsid w:val="00B1110B"/>
    <w:rsid w:val="00B136A8"/>
    <w:rsid w:val="00B14F32"/>
    <w:rsid w:val="00B14F9E"/>
    <w:rsid w:val="00B169F7"/>
    <w:rsid w:val="00B16ACE"/>
    <w:rsid w:val="00B16D7A"/>
    <w:rsid w:val="00B17046"/>
    <w:rsid w:val="00B173D5"/>
    <w:rsid w:val="00B20537"/>
    <w:rsid w:val="00B2164F"/>
    <w:rsid w:val="00B235A1"/>
    <w:rsid w:val="00B251C9"/>
    <w:rsid w:val="00B25C38"/>
    <w:rsid w:val="00B26B43"/>
    <w:rsid w:val="00B31398"/>
    <w:rsid w:val="00B31B1C"/>
    <w:rsid w:val="00B31F84"/>
    <w:rsid w:val="00B32990"/>
    <w:rsid w:val="00B34EBF"/>
    <w:rsid w:val="00B3519C"/>
    <w:rsid w:val="00B354EA"/>
    <w:rsid w:val="00B35E4B"/>
    <w:rsid w:val="00B36198"/>
    <w:rsid w:val="00B37B2E"/>
    <w:rsid w:val="00B37E98"/>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08D"/>
    <w:rsid w:val="00B66746"/>
    <w:rsid w:val="00B66BF1"/>
    <w:rsid w:val="00B670B1"/>
    <w:rsid w:val="00B700CA"/>
    <w:rsid w:val="00B71B5B"/>
    <w:rsid w:val="00B71EF7"/>
    <w:rsid w:val="00B71F4F"/>
    <w:rsid w:val="00B72399"/>
    <w:rsid w:val="00B72653"/>
    <w:rsid w:val="00B72A50"/>
    <w:rsid w:val="00B73524"/>
    <w:rsid w:val="00B73E48"/>
    <w:rsid w:val="00B755F3"/>
    <w:rsid w:val="00B76730"/>
    <w:rsid w:val="00B81734"/>
    <w:rsid w:val="00B8176D"/>
    <w:rsid w:val="00B81D76"/>
    <w:rsid w:val="00B83525"/>
    <w:rsid w:val="00B8364E"/>
    <w:rsid w:val="00B855E7"/>
    <w:rsid w:val="00B9066D"/>
    <w:rsid w:val="00B90EF9"/>
    <w:rsid w:val="00B9134B"/>
    <w:rsid w:val="00B92F4C"/>
    <w:rsid w:val="00B97F84"/>
    <w:rsid w:val="00BA00F6"/>
    <w:rsid w:val="00BA0A99"/>
    <w:rsid w:val="00BA0DB6"/>
    <w:rsid w:val="00BA0F2A"/>
    <w:rsid w:val="00BA1BCB"/>
    <w:rsid w:val="00BA7D5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6F75"/>
    <w:rsid w:val="00BC7B42"/>
    <w:rsid w:val="00BD07AF"/>
    <w:rsid w:val="00BD2B3E"/>
    <w:rsid w:val="00BD353B"/>
    <w:rsid w:val="00BD3BBC"/>
    <w:rsid w:val="00BD4B6B"/>
    <w:rsid w:val="00BD4E75"/>
    <w:rsid w:val="00BD55A7"/>
    <w:rsid w:val="00BD7894"/>
    <w:rsid w:val="00BE5E8C"/>
    <w:rsid w:val="00BF0715"/>
    <w:rsid w:val="00BF10D4"/>
    <w:rsid w:val="00BF3763"/>
    <w:rsid w:val="00BF4A3A"/>
    <w:rsid w:val="00BF53AF"/>
    <w:rsid w:val="00BF5496"/>
    <w:rsid w:val="00BF5E39"/>
    <w:rsid w:val="00C01CFB"/>
    <w:rsid w:val="00C01E35"/>
    <w:rsid w:val="00C0201A"/>
    <w:rsid w:val="00C023E3"/>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47C97"/>
    <w:rsid w:val="00C5227A"/>
    <w:rsid w:val="00C53718"/>
    <w:rsid w:val="00C5377E"/>
    <w:rsid w:val="00C53A88"/>
    <w:rsid w:val="00C5443F"/>
    <w:rsid w:val="00C5449E"/>
    <w:rsid w:val="00C544AA"/>
    <w:rsid w:val="00C548DB"/>
    <w:rsid w:val="00C5509F"/>
    <w:rsid w:val="00C56436"/>
    <w:rsid w:val="00C604A1"/>
    <w:rsid w:val="00C60C2F"/>
    <w:rsid w:val="00C6351A"/>
    <w:rsid w:val="00C64450"/>
    <w:rsid w:val="00C6685A"/>
    <w:rsid w:val="00C669C1"/>
    <w:rsid w:val="00C66C97"/>
    <w:rsid w:val="00C70142"/>
    <w:rsid w:val="00C72048"/>
    <w:rsid w:val="00C7288C"/>
    <w:rsid w:val="00C734E5"/>
    <w:rsid w:val="00C740B8"/>
    <w:rsid w:val="00C75121"/>
    <w:rsid w:val="00C75595"/>
    <w:rsid w:val="00C75CFF"/>
    <w:rsid w:val="00C76D56"/>
    <w:rsid w:val="00C7790A"/>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2B1"/>
    <w:rsid w:val="00CC2E8F"/>
    <w:rsid w:val="00CC332D"/>
    <w:rsid w:val="00CC438E"/>
    <w:rsid w:val="00CD016A"/>
    <w:rsid w:val="00CD0BB4"/>
    <w:rsid w:val="00CD1283"/>
    <w:rsid w:val="00CD1426"/>
    <w:rsid w:val="00CD2012"/>
    <w:rsid w:val="00CD29CD"/>
    <w:rsid w:val="00CD33BA"/>
    <w:rsid w:val="00CD3E3B"/>
    <w:rsid w:val="00CD5023"/>
    <w:rsid w:val="00CD6293"/>
    <w:rsid w:val="00CD62F8"/>
    <w:rsid w:val="00CD6DDE"/>
    <w:rsid w:val="00CE1213"/>
    <w:rsid w:val="00CE1A6F"/>
    <w:rsid w:val="00CE1D2D"/>
    <w:rsid w:val="00CF313A"/>
    <w:rsid w:val="00CF3B89"/>
    <w:rsid w:val="00CF3DFA"/>
    <w:rsid w:val="00CF49F7"/>
    <w:rsid w:val="00CF4BDA"/>
    <w:rsid w:val="00CF4C73"/>
    <w:rsid w:val="00CF4EAE"/>
    <w:rsid w:val="00CF672E"/>
    <w:rsid w:val="00D013F7"/>
    <w:rsid w:val="00D0157A"/>
    <w:rsid w:val="00D017BD"/>
    <w:rsid w:val="00D01B7D"/>
    <w:rsid w:val="00D02ABF"/>
    <w:rsid w:val="00D037FA"/>
    <w:rsid w:val="00D04E0E"/>
    <w:rsid w:val="00D06A7F"/>
    <w:rsid w:val="00D132CA"/>
    <w:rsid w:val="00D1419E"/>
    <w:rsid w:val="00D14FE1"/>
    <w:rsid w:val="00D156CC"/>
    <w:rsid w:val="00D17ECC"/>
    <w:rsid w:val="00D203BF"/>
    <w:rsid w:val="00D20470"/>
    <w:rsid w:val="00D21075"/>
    <w:rsid w:val="00D2144D"/>
    <w:rsid w:val="00D21841"/>
    <w:rsid w:val="00D21992"/>
    <w:rsid w:val="00D21A19"/>
    <w:rsid w:val="00D22E95"/>
    <w:rsid w:val="00D265BA"/>
    <w:rsid w:val="00D32B47"/>
    <w:rsid w:val="00D34B47"/>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BA7"/>
    <w:rsid w:val="00D57F8D"/>
    <w:rsid w:val="00D602B2"/>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29B7"/>
    <w:rsid w:val="00D8484A"/>
    <w:rsid w:val="00D84925"/>
    <w:rsid w:val="00D849FE"/>
    <w:rsid w:val="00D84E37"/>
    <w:rsid w:val="00D85DAB"/>
    <w:rsid w:val="00D86503"/>
    <w:rsid w:val="00D8654A"/>
    <w:rsid w:val="00D876A8"/>
    <w:rsid w:val="00D87E2D"/>
    <w:rsid w:val="00D90876"/>
    <w:rsid w:val="00D918AA"/>
    <w:rsid w:val="00D9192A"/>
    <w:rsid w:val="00D92B19"/>
    <w:rsid w:val="00D931A2"/>
    <w:rsid w:val="00D93E98"/>
    <w:rsid w:val="00D9448F"/>
    <w:rsid w:val="00D952BF"/>
    <w:rsid w:val="00D95D83"/>
    <w:rsid w:val="00D97065"/>
    <w:rsid w:val="00D97ADB"/>
    <w:rsid w:val="00DA0993"/>
    <w:rsid w:val="00DA19C7"/>
    <w:rsid w:val="00DA2177"/>
    <w:rsid w:val="00DA3E9A"/>
    <w:rsid w:val="00DA47F4"/>
    <w:rsid w:val="00DA55FD"/>
    <w:rsid w:val="00DA71B7"/>
    <w:rsid w:val="00DA7A8A"/>
    <w:rsid w:val="00DA7B09"/>
    <w:rsid w:val="00DB030C"/>
    <w:rsid w:val="00DB0D9B"/>
    <w:rsid w:val="00DB1078"/>
    <w:rsid w:val="00DB2023"/>
    <w:rsid w:val="00DB3973"/>
    <w:rsid w:val="00DB5706"/>
    <w:rsid w:val="00DB5D8D"/>
    <w:rsid w:val="00DB6BD4"/>
    <w:rsid w:val="00DB7833"/>
    <w:rsid w:val="00DC0031"/>
    <w:rsid w:val="00DC0077"/>
    <w:rsid w:val="00DC0D57"/>
    <w:rsid w:val="00DC1961"/>
    <w:rsid w:val="00DC3FDB"/>
    <w:rsid w:val="00DC53AD"/>
    <w:rsid w:val="00DC65A4"/>
    <w:rsid w:val="00DC72E1"/>
    <w:rsid w:val="00DD33E9"/>
    <w:rsid w:val="00DD36BA"/>
    <w:rsid w:val="00DD58A6"/>
    <w:rsid w:val="00DD5C86"/>
    <w:rsid w:val="00DD61D2"/>
    <w:rsid w:val="00DE0831"/>
    <w:rsid w:val="00DE154F"/>
    <w:rsid w:val="00DE1EF0"/>
    <w:rsid w:val="00DE218C"/>
    <w:rsid w:val="00DE382A"/>
    <w:rsid w:val="00DE73CB"/>
    <w:rsid w:val="00DF0551"/>
    <w:rsid w:val="00DF11A3"/>
    <w:rsid w:val="00DF269B"/>
    <w:rsid w:val="00DF3C98"/>
    <w:rsid w:val="00DF4D6D"/>
    <w:rsid w:val="00DF52DF"/>
    <w:rsid w:val="00DF708F"/>
    <w:rsid w:val="00E02539"/>
    <w:rsid w:val="00E03833"/>
    <w:rsid w:val="00E05611"/>
    <w:rsid w:val="00E057AE"/>
    <w:rsid w:val="00E0795B"/>
    <w:rsid w:val="00E1010B"/>
    <w:rsid w:val="00E103FE"/>
    <w:rsid w:val="00E10D5F"/>
    <w:rsid w:val="00E10EAA"/>
    <w:rsid w:val="00E1214A"/>
    <w:rsid w:val="00E12BBA"/>
    <w:rsid w:val="00E14E0B"/>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1F74"/>
    <w:rsid w:val="00E62E10"/>
    <w:rsid w:val="00E662DA"/>
    <w:rsid w:val="00E67275"/>
    <w:rsid w:val="00E6745A"/>
    <w:rsid w:val="00E720EE"/>
    <w:rsid w:val="00E756F6"/>
    <w:rsid w:val="00E7627D"/>
    <w:rsid w:val="00E76928"/>
    <w:rsid w:val="00E77F0E"/>
    <w:rsid w:val="00E800EA"/>
    <w:rsid w:val="00E81D01"/>
    <w:rsid w:val="00E83687"/>
    <w:rsid w:val="00E837D7"/>
    <w:rsid w:val="00E83D1E"/>
    <w:rsid w:val="00E849D9"/>
    <w:rsid w:val="00E858DD"/>
    <w:rsid w:val="00E8593C"/>
    <w:rsid w:val="00E85FB2"/>
    <w:rsid w:val="00E902AF"/>
    <w:rsid w:val="00E91E5F"/>
    <w:rsid w:val="00E92D15"/>
    <w:rsid w:val="00E92D68"/>
    <w:rsid w:val="00E93A74"/>
    <w:rsid w:val="00E944B9"/>
    <w:rsid w:val="00E94BD9"/>
    <w:rsid w:val="00E957C1"/>
    <w:rsid w:val="00E96E67"/>
    <w:rsid w:val="00E9702A"/>
    <w:rsid w:val="00EA1649"/>
    <w:rsid w:val="00EA171B"/>
    <w:rsid w:val="00EA1E3D"/>
    <w:rsid w:val="00EA2AE6"/>
    <w:rsid w:val="00EA504E"/>
    <w:rsid w:val="00EA6DB1"/>
    <w:rsid w:val="00EA725D"/>
    <w:rsid w:val="00EB02AB"/>
    <w:rsid w:val="00EB0532"/>
    <w:rsid w:val="00EB1183"/>
    <w:rsid w:val="00EB120A"/>
    <w:rsid w:val="00EB1645"/>
    <w:rsid w:val="00EB1849"/>
    <w:rsid w:val="00EB3AF6"/>
    <w:rsid w:val="00EB58E6"/>
    <w:rsid w:val="00EB6401"/>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07782"/>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2789A"/>
    <w:rsid w:val="00F338F6"/>
    <w:rsid w:val="00F34342"/>
    <w:rsid w:val="00F34A19"/>
    <w:rsid w:val="00F368C9"/>
    <w:rsid w:val="00F369F7"/>
    <w:rsid w:val="00F40BEC"/>
    <w:rsid w:val="00F42219"/>
    <w:rsid w:val="00F4245A"/>
    <w:rsid w:val="00F428CA"/>
    <w:rsid w:val="00F43993"/>
    <w:rsid w:val="00F44F72"/>
    <w:rsid w:val="00F46105"/>
    <w:rsid w:val="00F474D0"/>
    <w:rsid w:val="00F54EDD"/>
    <w:rsid w:val="00F55BF3"/>
    <w:rsid w:val="00F55E4D"/>
    <w:rsid w:val="00F55F27"/>
    <w:rsid w:val="00F5694E"/>
    <w:rsid w:val="00F57D21"/>
    <w:rsid w:val="00F656EB"/>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6EE6"/>
    <w:rsid w:val="00F87CF8"/>
    <w:rsid w:val="00F90987"/>
    <w:rsid w:val="00F91BBC"/>
    <w:rsid w:val="00F938EB"/>
    <w:rsid w:val="00F9491D"/>
    <w:rsid w:val="00F97175"/>
    <w:rsid w:val="00FA0522"/>
    <w:rsid w:val="00FA2094"/>
    <w:rsid w:val="00FA2A44"/>
    <w:rsid w:val="00FA2C9C"/>
    <w:rsid w:val="00FA3564"/>
    <w:rsid w:val="00FA59EA"/>
    <w:rsid w:val="00FA6C03"/>
    <w:rsid w:val="00FA7658"/>
    <w:rsid w:val="00FA7D02"/>
    <w:rsid w:val="00FB19AF"/>
    <w:rsid w:val="00FB453A"/>
    <w:rsid w:val="00FB5661"/>
    <w:rsid w:val="00FB5F9A"/>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1DF"/>
    <w:rsid w:val="00FD569E"/>
    <w:rsid w:val="00FD5D61"/>
    <w:rsid w:val="00FD6B1C"/>
    <w:rsid w:val="00FD72A1"/>
    <w:rsid w:val="00FE0BB9"/>
    <w:rsid w:val="00FE1484"/>
    <w:rsid w:val="00FE1AA2"/>
    <w:rsid w:val="00FE1AB0"/>
    <w:rsid w:val="00FE478F"/>
    <w:rsid w:val="00FE4F9B"/>
    <w:rsid w:val="00FF04D8"/>
    <w:rsid w:val="00FF1628"/>
    <w:rsid w:val="00FF17FD"/>
    <w:rsid w:val="00FF3C62"/>
    <w:rsid w:val="00FF4FE3"/>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4D6FE"/>
  <w15:docId w15:val="{191D45BA-BBCD-4A12-BD3C-30358279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4029DD"/>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locked/>
    <w:pPr>
      <w:tabs>
        <w:tab w:val="center" w:pos="4153"/>
        <w:tab w:val="right" w:pos="8306"/>
      </w:tabs>
    </w:pPr>
  </w:style>
  <w:style w:type="paragraph" w:styleId="TOC1">
    <w:name w:val="toc 1"/>
    <w:basedOn w:val="Normal"/>
    <w:next w:val="Normal"/>
    <w:autoRedefine/>
    <w:uiPriority w:val="39"/>
    <w:locked/>
    <w:pPr>
      <w:spacing w:before="120" w:after="120"/>
    </w:pPr>
    <w:rPr>
      <w:rFonts w:asciiTheme="minorHAnsi" w:hAnsiTheme="minorHAnsi"/>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4854D3"/>
    <w:pPr>
      <w:ind w:left="200"/>
    </w:pPr>
    <w:rPr>
      <w:rFonts w:asciiTheme="minorHAnsi" w:hAnsiTheme="minorHAnsi"/>
      <w:smallCaps/>
    </w:rPr>
  </w:style>
  <w:style w:type="paragraph" w:styleId="TOC3">
    <w:name w:val="toc 3"/>
    <w:basedOn w:val="Normal"/>
    <w:next w:val="Normal"/>
    <w:link w:val="TOC3Char"/>
    <w:autoRedefine/>
    <w:uiPriority w:val="39"/>
    <w:locked/>
    <w:rsid w:val="004854D3"/>
    <w:pPr>
      <w:ind w:left="400"/>
    </w:pPr>
    <w:rPr>
      <w:rFonts w:asciiTheme="minorHAnsi" w:hAnsiTheme="minorHAnsi"/>
      <w:i/>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uiPriority w:val="99"/>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D85DAB"/>
    <w:rPr>
      <w:rFonts w:asciiTheme="minorHAnsi" w:hAnsiTheme="minorHAnsi"/>
      <w:i/>
      <w:iCs/>
      <w:lang w:val="en-GB"/>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paragraph" w:customStyle="1" w:styleId="NumberBodyText">
    <w:name w:val="Number Body Text"/>
    <w:basedOn w:val="ListParagraph"/>
    <w:link w:val="NumberBodyTextChar"/>
    <w:qFormat/>
    <w:rsid w:val="009924D7"/>
    <w:pPr>
      <w:numPr>
        <w:numId w:val="5"/>
      </w:numPr>
    </w:pPr>
  </w:style>
  <w:style w:type="character" w:customStyle="1" w:styleId="ListParagraphChar">
    <w:name w:val="List Paragraph Char"/>
    <w:basedOn w:val="DefaultParagraphFont"/>
    <w:link w:val="ListParagraph"/>
    <w:uiPriority w:val="99"/>
    <w:rsid w:val="009924D7"/>
    <w:rPr>
      <w:rFonts w:ascii="Arial" w:hAnsi="Arial"/>
    </w:rPr>
  </w:style>
  <w:style w:type="character" w:customStyle="1" w:styleId="NumberBodyTextChar">
    <w:name w:val="Number Body Text Char"/>
    <w:basedOn w:val="ListParagraphChar"/>
    <w:link w:val="NumberBodyText"/>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NewHeading1">
    <w:name w:val="New Heading 1"/>
    <w:basedOn w:val="Heading1"/>
    <w:link w:val="NewHeading1Char"/>
    <w:qFormat/>
    <w:rsid w:val="00BD7894"/>
    <w:pPr>
      <w:ind w:left="1276"/>
    </w:pPr>
  </w:style>
  <w:style w:type="paragraph" w:customStyle="1" w:styleId="WPNormal">
    <w:name w:val="WP_Normal"/>
    <w:basedOn w:val="Normal"/>
    <w:rsid w:val="005E5D65"/>
    <w:pPr>
      <w:jc w:val="left"/>
    </w:pPr>
    <w:rPr>
      <w:rFonts w:ascii="Geneva" w:hAnsi="Geneva"/>
      <w:sz w:val="24"/>
      <w:lang w:val="en-GB"/>
    </w:rPr>
  </w:style>
  <w:style w:type="character" w:customStyle="1" w:styleId="NewHeading1Char">
    <w:name w:val="New Heading 1 Char"/>
    <w:basedOn w:val="Heading1Char"/>
    <w:link w:val="NewHeading1"/>
    <w:rsid w:val="00BD7894"/>
    <w:rPr>
      <w:rFonts w:ascii="Arial Bold" w:hAnsi="Arial Bold" w:cs="Arial"/>
      <w:b/>
      <w:caps/>
      <w:sz w:val="26"/>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character" w:customStyle="1" w:styleId="Mention1">
    <w:name w:val="Mention1"/>
    <w:basedOn w:val="DefaultParagraphFont"/>
    <w:uiPriority w:val="99"/>
    <w:semiHidden/>
    <w:unhideWhenUsed/>
    <w:rsid w:val="00B3519C"/>
    <w:rPr>
      <w:color w:val="2B579A"/>
      <w:shd w:val="clear" w:color="auto" w:fill="E6E6E6"/>
    </w:rPr>
  </w:style>
  <w:style w:type="paragraph" w:customStyle="1" w:styleId="HeadingCenter">
    <w:name w:val="Heading Center"/>
    <w:basedOn w:val="SectionHeading"/>
    <w:link w:val="HeadingCenterChar"/>
    <w:qFormat/>
    <w:rsid w:val="00745F41"/>
    <w:pPr>
      <w:jc w:val="center"/>
    </w:pPr>
    <w:rPr>
      <w:lang w:val="en-GB"/>
    </w:rPr>
  </w:style>
  <w:style w:type="character" w:customStyle="1" w:styleId="HeadingCenterChar">
    <w:name w:val="Heading Center Char"/>
    <w:basedOn w:val="SectionHeadingChar"/>
    <w:link w:val="HeadingCenter"/>
    <w:rsid w:val="00745F41"/>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D876A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D876A8"/>
    <w:rPr>
      <w:rFonts w:ascii="Arial" w:hAnsi="Arial" w:cs="Arial"/>
      <w:b/>
    </w:rPr>
  </w:style>
  <w:style w:type="paragraph" w:customStyle="1" w:styleId="BodyRED">
    <w:name w:val="Body RED"/>
    <w:basedOn w:val="BodyBold"/>
    <w:link w:val="BodyREDChar"/>
    <w:qFormat/>
    <w:rsid w:val="00D876A8"/>
    <w:rPr>
      <w:color w:val="FF0000"/>
    </w:rPr>
  </w:style>
  <w:style w:type="character" w:customStyle="1" w:styleId="BodyREDChar">
    <w:name w:val="Body RED Char"/>
    <w:basedOn w:val="BodyBoldChar"/>
    <w:link w:val="BodyRED"/>
    <w:rsid w:val="00D876A8"/>
    <w:rPr>
      <w:rFonts w:ascii="Arial" w:hAnsi="Arial"/>
      <w:b/>
      <w:color w:val="FF0000"/>
    </w:rPr>
  </w:style>
  <w:style w:type="paragraph" w:customStyle="1" w:styleId="RevisionTableText">
    <w:name w:val="Revision Table Text"/>
    <w:basedOn w:val="Normal"/>
    <w:link w:val="RevisionTableTextChar"/>
    <w:qFormat/>
    <w:rsid w:val="00D876A8"/>
    <w:pPr>
      <w:jc w:val="center"/>
    </w:pPr>
    <w:rPr>
      <w:rFonts w:cs="Arial"/>
      <w:sz w:val="16"/>
      <w:szCs w:val="16"/>
    </w:rPr>
  </w:style>
  <w:style w:type="character" w:customStyle="1" w:styleId="RevisionTableTextChar">
    <w:name w:val="Revision Table Text Char"/>
    <w:basedOn w:val="DefaultParagraphFont"/>
    <w:link w:val="RevisionTableText"/>
    <w:rsid w:val="00D876A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208032468">
          <w:marLeft w:val="547"/>
          <w:marRight w:val="0"/>
          <w:marTop w:val="0"/>
          <w:marBottom w:val="0"/>
          <w:divBdr>
            <w:top w:val="none" w:sz="0" w:space="0" w:color="auto"/>
            <w:left w:val="none" w:sz="0" w:space="0" w:color="auto"/>
            <w:bottom w:val="none" w:sz="0" w:space="0" w:color="auto"/>
            <w:right w:val="none" w:sz="0" w:space="0" w:color="auto"/>
          </w:divBdr>
        </w:div>
        <w:div w:id="451435494">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842550954">
          <w:marLeft w:val="547"/>
          <w:marRight w:val="0"/>
          <w:marTop w:val="0"/>
          <w:marBottom w:val="0"/>
          <w:divBdr>
            <w:top w:val="none" w:sz="0" w:space="0" w:color="auto"/>
            <w:left w:val="none" w:sz="0" w:space="0" w:color="auto"/>
            <w:bottom w:val="none" w:sz="0" w:space="0" w:color="auto"/>
            <w:right w:val="none" w:sz="0" w:space="0" w:color="auto"/>
          </w:divBdr>
        </w:div>
        <w:div w:id="1473447818">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gennin\Bechtel%20Corporation\NPMO%20-%20External\07_NPMO_Document_Management\Supporting%20Documentation\Template%20-%20NPMO%20Document%20-%20Code%201%20-%2000Bv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5698E3FE84C96B0FC42F56941E7AA"/>
        <w:category>
          <w:name w:val="General"/>
          <w:gallery w:val="placeholder"/>
        </w:category>
        <w:types>
          <w:type w:val="bbPlcHdr"/>
        </w:types>
        <w:behaviors>
          <w:behavior w:val="content"/>
        </w:behaviors>
        <w:guid w:val="{03BADB31-B563-4F16-BA54-222A4038DAF0}"/>
      </w:docPartPr>
      <w:docPartBody>
        <w:p w:rsidR="00000000" w:rsidRDefault="00434963" w:rsidP="00434963">
          <w:pPr>
            <w:pStyle w:val="E2A5698E3FE84C96B0FC42F56941E7AA"/>
          </w:pPr>
          <w:r w:rsidRPr="00D16477">
            <w:rPr>
              <w:rStyle w:val="PlaceholderText"/>
            </w:rPr>
            <w:t>[Subject]</w:t>
          </w:r>
        </w:p>
      </w:docPartBody>
    </w:docPart>
    <w:docPart>
      <w:docPartPr>
        <w:name w:val="B1E3F75657054049A623803113734EE9"/>
        <w:category>
          <w:name w:val="General"/>
          <w:gallery w:val="placeholder"/>
        </w:category>
        <w:types>
          <w:type w:val="bbPlcHdr"/>
        </w:types>
        <w:behaviors>
          <w:behavior w:val="content"/>
        </w:behaviors>
        <w:guid w:val="{D0CD3A6C-3AAA-41BD-93B4-B111E9180D18}"/>
      </w:docPartPr>
      <w:docPartBody>
        <w:p w:rsidR="00000000" w:rsidRDefault="00434963" w:rsidP="00434963">
          <w:pPr>
            <w:pStyle w:val="B1E3F75657054049A623803113734EE9"/>
          </w:pPr>
          <w:r w:rsidRPr="00D16477">
            <w:rPr>
              <w:rStyle w:val="PlaceholderText"/>
            </w:rPr>
            <w:t>[Status]</w:t>
          </w:r>
        </w:p>
      </w:docPartBody>
    </w:docPart>
    <w:docPart>
      <w:docPartPr>
        <w:name w:val="75409D8B732E4600996DC5B8EEADCE34"/>
        <w:category>
          <w:name w:val="General"/>
          <w:gallery w:val="placeholder"/>
        </w:category>
        <w:types>
          <w:type w:val="bbPlcHdr"/>
        </w:types>
        <w:behaviors>
          <w:behavior w:val="content"/>
        </w:behaviors>
        <w:guid w:val="{3CD6BF42-49D1-4619-94C3-2501E69A4590}"/>
      </w:docPartPr>
      <w:docPartBody>
        <w:p w:rsidR="00000000" w:rsidRDefault="00434963" w:rsidP="00434963">
          <w:pPr>
            <w:pStyle w:val="75409D8B732E4600996DC5B8EEADCE3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63"/>
    <w:rsid w:val="00434963"/>
    <w:rsid w:val="00BB2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4963"/>
    <w:rPr>
      <w:color w:val="808080"/>
    </w:rPr>
  </w:style>
  <w:style w:type="paragraph" w:customStyle="1" w:styleId="E2A5698E3FE84C96B0FC42F56941E7AA">
    <w:name w:val="E2A5698E3FE84C96B0FC42F56941E7AA"/>
    <w:rsid w:val="00434963"/>
  </w:style>
  <w:style w:type="paragraph" w:customStyle="1" w:styleId="B1E3F75657054049A623803113734EE9">
    <w:name w:val="B1E3F75657054049A623803113734EE9"/>
    <w:rsid w:val="00434963"/>
  </w:style>
  <w:style w:type="paragraph" w:customStyle="1" w:styleId="75409D8B732E4600996DC5B8EEADCE34">
    <w:name w:val="75409D8B732E4600996DC5B8EEADCE34"/>
    <w:rsid w:val="00434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2.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F7ACBB65-9BFE-4C74-921B-1FAB9CCF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NPMO Document - Code 1 - 00Bv003</Template>
  <TotalTime>3</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Estimate Classification Matrix Guideline</vt:lpstr>
    </vt:vector>
  </TitlesOfParts>
  <Company>Bechtel/EDS</Company>
  <LinksUpToDate>false</LinksUpToDate>
  <CharactersWithSpaces>3788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Classification Matrix Guideline</dc:title>
  <dc:subject>EPM-S00-RG-000002-AR</dc:subject>
  <dc:creator>Iqbal, Hasan</dc:creator>
  <cp:keywords>ᅟ</cp:keywords>
  <dc:description/>
  <cp:lastModifiedBy>اسماء المطيري Asma Almutairi</cp:lastModifiedBy>
  <cp:revision>3</cp:revision>
  <cp:lastPrinted>2022-03-10T09:46:00Z</cp:lastPrinted>
  <dcterms:created xsi:type="dcterms:W3CDTF">2021-08-25T06:15:00Z</dcterms:created>
  <dcterms:modified xsi:type="dcterms:W3CDTF">2022-03-10T09:46:00Z</dcterms:modified>
  <cp:category>3 E - External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8067deaf-3b23-4808-a958-2dd99c171994</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